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F788F" w14:textId="762A58E9" w:rsidR="00A95D9D" w:rsidRPr="00335A24" w:rsidRDefault="00755A6E">
      <w:pPr>
        <w:jc w:val="center"/>
        <w:rPr>
          <w:rFonts w:ascii="Times New Roman" w:eastAsia="黑体" w:hAnsi="Times New Roman"/>
          <w:b/>
          <w:sz w:val="36"/>
          <w:szCs w:val="36"/>
        </w:rPr>
      </w:pPr>
      <w:r w:rsidRPr="00335A24">
        <w:rPr>
          <w:rFonts w:ascii="Times New Roman" w:hAnsi="Times New Roman"/>
          <w:b/>
          <w:szCs w:val="21"/>
        </w:rPr>
        <w:t>证券代码：</w:t>
      </w:r>
      <w:r w:rsidRPr="00335A24">
        <w:rPr>
          <w:rFonts w:ascii="Times New Roman" w:hAnsi="Times New Roman"/>
          <w:b/>
          <w:szCs w:val="21"/>
        </w:rPr>
        <w:t xml:space="preserve">603111                           </w:t>
      </w:r>
      <w:r w:rsidR="00F96ED9" w:rsidRPr="00335A24">
        <w:rPr>
          <w:rFonts w:ascii="Times New Roman" w:hAnsi="Times New Roman"/>
          <w:b/>
          <w:szCs w:val="21"/>
        </w:rPr>
        <w:t xml:space="preserve">     </w:t>
      </w:r>
      <w:r w:rsidR="00B2465F" w:rsidRPr="00335A24">
        <w:rPr>
          <w:rFonts w:ascii="Times New Roman" w:hAnsi="Times New Roman"/>
          <w:b/>
          <w:szCs w:val="21"/>
        </w:rPr>
        <w:t xml:space="preserve">         </w:t>
      </w:r>
      <w:r w:rsidR="00610B10" w:rsidRPr="00335A24">
        <w:rPr>
          <w:rFonts w:ascii="Times New Roman" w:hAnsi="Times New Roman"/>
          <w:b/>
          <w:szCs w:val="21"/>
        </w:rPr>
        <w:t xml:space="preserve"> </w:t>
      </w:r>
      <w:r w:rsidRPr="00335A24">
        <w:rPr>
          <w:rFonts w:ascii="Times New Roman" w:hAnsi="Times New Roman"/>
          <w:b/>
          <w:szCs w:val="21"/>
        </w:rPr>
        <w:t>公司简称：康尼机电</w:t>
      </w:r>
      <w:r w:rsidRPr="00335A24">
        <w:rPr>
          <w:rFonts w:ascii="Times New Roman" w:eastAsia="黑体" w:hAnsi="Times New Roman"/>
          <w:b/>
          <w:sz w:val="36"/>
          <w:szCs w:val="36"/>
        </w:rPr>
        <w:t>南京康尼机电股份有限公司</w:t>
      </w:r>
    </w:p>
    <w:p w14:paraId="1410F6F2" w14:textId="77777777" w:rsidR="00A95D9D" w:rsidRPr="00335A24" w:rsidRDefault="00755A6E">
      <w:pPr>
        <w:jc w:val="center"/>
        <w:rPr>
          <w:rFonts w:ascii="Times New Roman" w:eastAsia="黑体" w:hAnsi="Times New Roman"/>
          <w:b/>
          <w:sz w:val="36"/>
          <w:szCs w:val="36"/>
        </w:rPr>
      </w:pPr>
      <w:r w:rsidRPr="00335A24">
        <w:rPr>
          <w:rFonts w:ascii="Times New Roman" w:eastAsia="黑体" w:hAnsi="Times New Roman"/>
          <w:b/>
          <w:sz w:val="36"/>
          <w:szCs w:val="36"/>
        </w:rPr>
        <w:t>投资者关系活动记录表</w:t>
      </w:r>
    </w:p>
    <w:p w14:paraId="69DE5217" w14:textId="5E5178CA" w:rsidR="00A95D9D" w:rsidRPr="00335A24" w:rsidRDefault="00755A6E" w:rsidP="00B2465F">
      <w:pPr>
        <w:jc w:val="right"/>
        <w:rPr>
          <w:rFonts w:ascii="Times New Roman" w:eastAsia="黑体" w:hAnsi="Times New Roman"/>
          <w:sz w:val="24"/>
          <w:szCs w:val="24"/>
        </w:rPr>
      </w:pPr>
      <w:r w:rsidRPr="00335A24">
        <w:rPr>
          <w:rFonts w:ascii="Times New Roman" w:eastAsia="黑体" w:hAnsi="Times New Roman"/>
          <w:sz w:val="24"/>
          <w:szCs w:val="24"/>
        </w:rPr>
        <w:t>编号：</w:t>
      </w:r>
      <w:r w:rsidR="00B2465F" w:rsidRPr="00335A24">
        <w:rPr>
          <w:rFonts w:ascii="Times New Roman" w:eastAsia="黑体" w:hAnsi="Times New Roman"/>
          <w:sz w:val="24"/>
          <w:szCs w:val="24"/>
        </w:rPr>
        <w:t>2025-00</w:t>
      </w:r>
      <w:r w:rsidR="00213AF7">
        <w:rPr>
          <w:rFonts w:ascii="Times New Roman" w:eastAsia="黑体" w:hAnsi="Times New Roman"/>
          <w:sz w:val="24"/>
          <w:szCs w:val="24"/>
        </w:rPr>
        <w:t>3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271"/>
        <w:gridCol w:w="7446"/>
      </w:tblGrid>
      <w:tr w:rsidR="00306020" w:rsidRPr="00335A24" w14:paraId="0D4D9838" w14:textId="77777777" w:rsidTr="00B30325">
        <w:trPr>
          <w:trHeight w:val="838"/>
        </w:trPr>
        <w:tc>
          <w:tcPr>
            <w:tcW w:w="1271" w:type="dxa"/>
            <w:vAlign w:val="center"/>
          </w:tcPr>
          <w:p w14:paraId="110034B2" w14:textId="77777777" w:rsidR="00306020" w:rsidRPr="005F0800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5F0800">
              <w:rPr>
                <w:rFonts w:ascii="Times New Roman" w:hAnsi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446" w:type="dxa"/>
          </w:tcPr>
          <w:p w14:paraId="4FF23933" w14:textId="77777777" w:rsidR="00306020" w:rsidRPr="005F0800" w:rsidRDefault="00306020" w:rsidP="00306020">
            <w:pPr>
              <w:spacing w:line="480" w:lineRule="atLeast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52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特定对象调研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 xml:space="preserve">        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分析师会议</w:t>
            </w:r>
          </w:p>
          <w:p w14:paraId="1A893DA2" w14:textId="77777777" w:rsidR="00306020" w:rsidRPr="005F0800" w:rsidRDefault="00306020" w:rsidP="00306020">
            <w:pPr>
              <w:spacing w:line="480" w:lineRule="atLeast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媒体采访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 xml:space="preserve">            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业绩说明会</w:t>
            </w:r>
          </w:p>
          <w:p w14:paraId="1E0E3D1B" w14:textId="77777777" w:rsidR="00306020" w:rsidRPr="005F0800" w:rsidRDefault="00306020" w:rsidP="00306020">
            <w:pPr>
              <w:spacing w:line="480" w:lineRule="atLeast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新闻发布会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 xml:space="preserve">          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路演活动</w:t>
            </w:r>
          </w:p>
          <w:p w14:paraId="234AF2B4" w14:textId="77777777" w:rsidR="00306020" w:rsidRPr="005F0800" w:rsidRDefault="00306020" w:rsidP="004211FA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bookmarkStart w:id="0" w:name="OLE_LINK1"/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52"/>
            </w:r>
            <w:bookmarkEnd w:id="0"/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现场参观</w:t>
            </w:r>
            <w:r w:rsidR="004211FA"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 xml:space="preserve">            </w:t>
            </w:r>
            <w:r w:rsidR="00247495"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52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其他</w:t>
            </w:r>
            <w:r w:rsidR="00247495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（</w:t>
            </w:r>
            <w:proofErr w:type="gramStart"/>
            <w:r w:rsidR="00250891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腾讯</w:t>
            </w:r>
            <w:r w:rsidR="00247495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会议</w:t>
            </w:r>
            <w:proofErr w:type="gramEnd"/>
            <w:r w:rsidR="00247495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）</w:t>
            </w:r>
          </w:p>
        </w:tc>
      </w:tr>
      <w:tr w:rsidR="00306020" w:rsidRPr="00335A24" w14:paraId="1756C6BD" w14:textId="77777777" w:rsidTr="00B30325">
        <w:trPr>
          <w:trHeight w:val="496"/>
        </w:trPr>
        <w:tc>
          <w:tcPr>
            <w:tcW w:w="1271" w:type="dxa"/>
            <w:vAlign w:val="center"/>
          </w:tcPr>
          <w:p w14:paraId="74D551FD" w14:textId="77777777" w:rsidR="00306020" w:rsidRPr="005F0800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5F0800">
              <w:rPr>
                <w:rFonts w:ascii="Times New Roman" w:hAnsi="Times New Roman"/>
                <w:sz w:val="24"/>
                <w:szCs w:val="24"/>
              </w:rPr>
              <w:t>参会单位</w:t>
            </w:r>
          </w:p>
        </w:tc>
        <w:tc>
          <w:tcPr>
            <w:tcW w:w="7446" w:type="dxa"/>
            <w:vAlign w:val="center"/>
          </w:tcPr>
          <w:p w14:paraId="4671D074" w14:textId="5262AE7C" w:rsidR="00306020" w:rsidRPr="005F0800" w:rsidRDefault="00BB0AEE" w:rsidP="00BB0A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大成基金：曾大鹏；百年保险资管：戴斌；申万宏源：刘建伟；</w:t>
            </w:r>
          </w:p>
        </w:tc>
      </w:tr>
      <w:tr w:rsidR="00306020" w:rsidRPr="00335A24" w14:paraId="173E6163" w14:textId="77777777" w:rsidTr="00B30325">
        <w:trPr>
          <w:trHeight w:val="418"/>
        </w:trPr>
        <w:tc>
          <w:tcPr>
            <w:tcW w:w="1271" w:type="dxa"/>
            <w:vAlign w:val="center"/>
          </w:tcPr>
          <w:p w14:paraId="7712F6E8" w14:textId="77777777" w:rsidR="00306020" w:rsidRPr="00335A24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会议时间</w:t>
            </w:r>
          </w:p>
        </w:tc>
        <w:tc>
          <w:tcPr>
            <w:tcW w:w="7446" w:type="dxa"/>
            <w:vAlign w:val="center"/>
          </w:tcPr>
          <w:p w14:paraId="2D970F9A" w14:textId="097DD4F4" w:rsidR="00306020" w:rsidRPr="00335A24" w:rsidRDefault="00C85EB7" w:rsidP="00306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3:30—15:00</w:t>
            </w:r>
          </w:p>
        </w:tc>
      </w:tr>
      <w:tr w:rsidR="00306020" w:rsidRPr="00335A24" w14:paraId="520FA926" w14:textId="77777777" w:rsidTr="00B30325">
        <w:trPr>
          <w:trHeight w:val="534"/>
        </w:trPr>
        <w:tc>
          <w:tcPr>
            <w:tcW w:w="1271" w:type="dxa"/>
            <w:vAlign w:val="center"/>
          </w:tcPr>
          <w:p w14:paraId="4F2ACFA8" w14:textId="77777777" w:rsidR="00306020" w:rsidRPr="00335A24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会议地点</w:t>
            </w:r>
          </w:p>
        </w:tc>
        <w:tc>
          <w:tcPr>
            <w:tcW w:w="7446" w:type="dxa"/>
            <w:vAlign w:val="center"/>
          </w:tcPr>
          <w:p w14:paraId="386D3ED1" w14:textId="77777777" w:rsidR="00306020" w:rsidRPr="00335A24" w:rsidRDefault="00F0679E" w:rsidP="00692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sz w:val="24"/>
                <w:szCs w:val="24"/>
              </w:rPr>
              <w:t>楼会议室</w:t>
            </w:r>
            <w:r w:rsidR="00524311">
              <w:rPr>
                <w:rFonts w:ascii="Times New Roman" w:hAnsi="Times New Roman"/>
                <w:sz w:val="24"/>
                <w:szCs w:val="24"/>
              </w:rPr>
              <w:t>、线上会议</w:t>
            </w:r>
          </w:p>
        </w:tc>
      </w:tr>
      <w:tr w:rsidR="00306020" w:rsidRPr="00335A24" w14:paraId="304C52B3" w14:textId="77777777" w:rsidTr="00B30325">
        <w:trPr>
          <w:trHeight w:val="838"/>
        </w:trPr>
        <w:tc>
          <w:tcPr>
            <w:tcW w:w="1271" w:type="dxa"/>
            <w:vAlign w:val="center"/>
          </w:tcPr>
          <w:p w14:paraId="3DD8ECBF" w14:textId="77777777" w:rsidR="00306020" w:rsidRPr="00335A24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446" w:type="dxa"/>
            <w:vAlign w:val="center"/>
          </w:tcPr>
          <w:p w14:paraId="6CA0CD1C" w14:textId="77777777" w:rsidR="00E30F0E" w:rsidRPr="00335A24" w:rsidRDefault="00E30F0E" w:rsidP="003060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董事</w:t>
            </w:r>
            <w:r w:rsidR="001F76D2">
              <w:rPr>
                <w:rFonts w:ascii="Times New Roman" w:hAnsi="Times New Roman"/>
                <w:sz w:val="24"/>
                <w:szCs w:val="24"/>
              </w:rPr>
              <w:t>会秘书：唐卫华先生</w:t>
            </w:r>
          </w:p>
          <w:p w14:paraId="6DB76937" w14:textId="77777777" w:rsidR="00A472D3" w:rsidRPr="00335A24" w:rsidRDefault="00A472D3" w:rsidP="003060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0800">
              <w:rPr>
                <w:rFonts w:ascii="Times New Roman" w:hAnsi="Times New Roman"/>
                <w:sz w:val="24"/>
                <w:szCs w:val="24"/>
              </w:rPr>
              <w:t>证券事务</w:t>
            </w:r>
            <w:r w:rsidR="008E3591">
              <w:rPr>
                <w:rFonts w:ascii="Times New Roman" w:hAnsi="Times New Roman" w:hint="eastAsia"/>
                <w:sz w:val="24"/>
                <w:szCs w:val="24"/>
              </w:rPr>
              <w:t>代表</w:t>
            </w:r>
            <w:r w:rsidRPr="005F0800">
              <w:rPr>
                <w:rFonts w:ascii="Times New Roman" w:hAnsi="Times New Roman"/>
                <w:sz w:val="24"/>
                <w:szCs w:val="24"/>
              </w:rPr>
              <w:t>：章玉叶</w:t>
            </w:r>
            <w:r w:rsidR="00387609">
              <w:rPr>
                <w:rFonts w:ascii="Times New Roman" w:hAnsi="Times New Roman"/>
                <w:sz w:val="24"/>
                <w:szCs w:val="24"/>
              </w:rPr>
              <w:t>女士</w:t>
            </w:r>
          </w:p>
        </w:tc>
      </w:tr>
      <w:tr w:rsidR="00306020" w:rsidRPr="00335A24" w14:paraId="73815756" w14:textId="77777777" w:rsidTr="00B30325">
        <w:trPr>
          <w:trHeight w:val="557"/>
        </w:trPr>
        <w:tc>
          <w:tcPr>
            <w:tcW w:w="1271" w:type="dxa"/>
            <w:vAlign w:val="center"/>
          </w:tcPr>
          <w:p w14:paraId="7B0D7045" w14:textId="77777777" w:rsidR="00306020" w:rsidRPr="00335A24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446" w:type="dxa"/>
          </w:tcPr>
          <w:p w14:paraId="41AF15EC" w14:textId="313F4390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97B37">
              <w:rPr>
                <w:rFonts w:ascii="Times New Roman" w:hAnsi="Times New Roman"/>
                <w:sz w:val="24"/>
                <w:szCs w:val="24"/>
              </w:rPr>
              <w:t>1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、请问一下公司轨道交通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</w:rPr>
              <w:t>门系统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</w:rPr>
              <w:t>的公司竞争优势是什么？国内外市场占有率？公司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</w:rPr>
              <w:t>门系统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</w:rPr>
              <w:t>未来技术迭代方向是什么？</w:t>
            </w:r>
          </w:p>
          <w:p w14:paraId="74E8DF64" w14:textId="6997792B" w:rsidR="00E97B37" w:rsidRPr="00E97B37" w:rsidRDefault="0018325A" w:rsidP="00A0487C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回</w:t>
            </w:r>
            <w:r w:rsidR="00E97B37" w:rsidRPr="00E97B37">
              <w:rPr>
                <w:rFonts w:ascii="Times New Roman" w:hAnsi="Times New Roman"/>
                <w:sz w:val="24"/>
                <w:szCs w:val="24"/>
              </w:rPr>
              <w:t>答：公司</w:t>
            </w:r>
            <w:proofErr w:type="gramStart"/>
            <w:r w:rsidR="00E97B37" w:rsidRPr="00E97B37">
              <w:rPr>
                <w:rFonts w:ascii="Times New Roman" w:hAnsi="Times New Roman"/>
                <w:sz w:val="24"/>
                <w:szCs w:val="24"/>
              </w:rPr>
              <w:t>门系统</w:t>
            </w:r>
            <w:proofErr w:type="gramEnd"/>
            <w:r w:rsidR="00E97B37" w:rsidRPr="00E97B37">
              <w:rPr>
                <w:rFonts w:ascii="Times New Roman" w:hAnsi="Times New Roman"/>
                <w:sz w:val="24"/>
                <w:szCs w:val="24"/>
              </w:rPr>
              <w:t>产品的竞争优势主要是产品的高可靠性、高安全性以及关键核心零部件自主国产化（门控器、电机、丝杆等关键部件由公司</w:t>
            </w:r>
            <w:proofErr w:type="gramStart"/>
            <w:r w:rsidR="00E97B37" w:rsidRPr="00E97B37">
              <w:rPr>
                <w:rFonts w:ascii="Times New Roman" w:hAnsi="Times New Roman"/>
                <w:sz w:val="24"/>
                <w:szCs w:val="24"/>
              </w:rPr>
              <w:t>自研制造</w:t>
            </w:r>
            <w:proofErr w:type="gramEnd"/>
            <w:r w:rsidR="00E97B37" w:rsidRPr="00E97B37">
              <w:rPr>
                <w:rFonts w:ascii="Times New Roman" w:hAnsi="Times New Roman"/>
                <w:sz w:val="24"/>
                <w:szCs w:val="24"/>
              </w:rPr>
              <w:t>），在</w:t>
            </w:r>
            <w:proofErr w:type="gramStart"/>
            <w:r w:rsidR="00E97B37" w:rsidRPr="00E97B37">
              <w:rPr>
                <w:rFonts w:ascii="Times New Roman" w:hAnsi="Times New Roman"/>
                <w:sz w:val="24"/>
                <w:szCs w:val="24"/>
              </w:rPr>
              <w:t>市占率方面</w:t>
            </w:r>
            <w:proofErr w:type="gramEnd"/>
            <w:r w:rsidR="00E97B37" w:rsidRPr="00E97B37">
              <w:rPr>
                <w:rFonts w:ascii="Times New Roman" w:hAnsi="Times New Roman"/>
                <w:sz w:val="24"/>
                <w:szCs w:val="24"/>
              </w:rPr>
              <w:t>，轨道车辆</w:t>
            </w:r>
            <w:proofErr w:type="gramStart"/>
            <w:r w:rsidR="00E97B37" w:rsidRPr="00E97B37">
              <w:rPr>
                <w:rFonts w:ascii="Times New Roman" w:hAnsi="Times New Roman"/>
                <w:sz w:val="24"/>
                <w:szCs w:val="24"/>
              </w:rPr>
              <w:t>门系统</w:t>
            </w:r>
            <w:proofErr w:type="gramEnd"/>
            <w:r w:rsidR="00E97B37" w:rsidRPr="00E97B37">
              <w:rPr>
                <w:rFonts w:ascii="Times New Roman" w:hAnsi="Times New Roman"/>
                <w:sz w:val="24"/>
                <w:szCs w:val="24"/>
              </w:rPr>
              <w:t>市场占有率多年位居全球前列。</w:t>
            </w:r>
          </w:p>
          <w:p w14:paraId="24CEE54F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97B37">
              <w:rPr>
                <w:rFonts w:ascii="Times New Roman" w:hAnsi="Times New Roman"/>
                <w:sz w:val="24"/>
                <w:szCs w:val="24"/>
              </w:rPr>
              <w:t>在未来技术迭代方面，公司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</w:rPr>
              <w:t>门系统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</w:rPr>
              <w:t>技术持续升级，核心仍聚焦于可靠性、安全性，同时基于物联网、先进故障诊断和大数据分析等技术，进一步深化应用故障预测与健康管理系统（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PHM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），实时远程监控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</w:rPr>
              <w:t>门系统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</w:rPr>
              <w:t>运行状态，优化检修效率并降低客户维护成本；应用新型网络通讯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</w:rPr>
              <w:t>与域控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</w:rPr>
              <w:t>技术，优化信号系统对接；持续推进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</w:rPr>
              <w:t>门系统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</w:rPr>
              <w:t>智能化、绿色化、轻量化等技术方向。</w:t>
            </w:r>
          </w:p>
          <w:p w14:paraId="303FC36B" w14:textId="51CD4262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97B37">
              <w:rPr>
                <w:rFonts w:ascii="Times New Roman" w:hAnsi="Times New Roman"/>
                <w:sz w:val="24"/>
                <w:szCs w:val="24"/>
              </w:rPr>
              <w:t>2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、请问一</w:t>
            </w:r>
            <w:r w:rsidR="003128A5">
              <w:rPr>
                <w:rFonts w:ascii="Times New Roman" w:hAnsi="Times New Roman"/>
                <w:sz w:val="24"/>
                <w:szCs w:val="24"/>
              </w:rPr>
              <w:t>下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公司海外布局及海外业务拓展模式？公司轨道交通业务未来增长方向是什么？</w:t>
            </w:r>
          </w:p>
          <w:p w14:paraId="5129873C" w14:textId="630FB14B" w:rsidR="00CD413E" w:rsidRDefault="00E97B37" w:rsidP="00A0487C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回答：公司于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 xml:space="preserve">2018 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年启动国际化战略，初步形成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“</w:t>
            </w:r>
            <w:r w:rsidR="00A0487C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法国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欧洲创新发展中心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+5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家海外子公司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”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的布局，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 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纵深推进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“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走出去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”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战略，与阿尔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lastRenderedPageBreak/>
              <w:t>斯通、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CAF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、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STANDLER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、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SKODA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等国际主机厂建立了紧密合作关系。海外市场拓展主要是直接</w:t>
            </w:r>
            <w:r w:rsidR="00CD413E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与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国际主机厂合作，参与其全球轨道交通项目</w:t>
            </w:r>
            <w:r w:rsidR="00AC4A6C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采购招标</w:t>
            </w:r>
            <w:r w:rsidR="003C2853">
              <w:rPr>
                <w:rFonts w:ascii="Times New Roman" w:hAnsi="Times New Roman" w:hint="eastAsia"/>
                <w:sz w:val="24"/>
                <w:szCs w:val="24"/>
                <w:shd w:val="clear" w:color="auto" w:fill="F9FAFB"/>
              </w:rPr>
              <w:t>，</w:t>
            </w:r>
            <w:r w:rsidR="003C2853" w:rsidRPr="003C2853">
              <w:rPr>
                <w:rFonts w:ascii="Times New Roman" w:hAnsi="Times New Roman" w:hint="eastAsia"/>
                <w:sz w:val="24"/>
                <w:szCs w:val="24"/>
                <w:shd w:val="clear" w:color="auto" w:fill="F9FAFB"/>
              </w:rPr>
              <w:t>公司产品已在全球</w:t>
            </w:r>
            <w:r w:rsidR="003C2853" w:rsidRPr="003C2853">
              <w:rPr>
                <w:rFonts w:ascii="Times New Roman" w:hAnsi="Times New Roman" w:hint="eastAsia"/>
                <w:sz w:val="24"/>
                <w:szCs w:val="24"/>
                <w:shd w:val="clear" w:color="auto" w:fill="F9FAFB"/>
              </w:rPr>
              <w:t>40</w:t>
            </w:r>
            <w:r w:rsidR="003C2853" w:rsidRPr="003C2853">
              <w:rPr>
                <w:rFonts w:ascii="Times New Roman" w:hAnsi="Times New Roman" w:hint="eastAsia"/>
                <w:sz w:val="24"/>
                <w:szCs w:val="24"/>
                <w:shd w:val="clear" w:color="auto" w:fill="F9FAFB"/>
              </w:rPr>
              <w:t>多个国家和地区运行。</w:t>
            </w:r>
          </w:p>
          <w:p w14:paraId="2EE33C2E" w14:textId="7B8C3FBE" w:rsidR="00E97B37" w:rsidRPr="00E97B37" w:rsidRDefault="00E97B37" w:rsidP="0028013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近年，轨道交通海外市场保持稳定增长，海外市场作为公司战略重点拓展的方向，产品已从车门拓展到安全门、内装等领域，公司将持续深化与国际主机厂合作，加速拓展海外市场，全面参与全球轨道市场的竞争，继续全力促进海外订单和收入保持稳定增长，使其成为公司新的经济增长点。</w:t>
            </w:r>
            <w:r w:rsidR="007E43CE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截至二季度末，</w:t>
            </w:r>
            <w:proofErr w:type="gramStart"/>
            <w:r w:rsidR="007E43CE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轨交主业</w:t>
            </w:r>
            <w:proofErr w:type="gramEnd"/>
            <w:r w:rsidR="007E43CE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在手订单金额</w:t>
            </w:r>
            <w:r w:rsidR="007E43CE">
              <w:rPr>
                <w:rFonts w:ascii="Times New Roman" w:hAnsi="Times New Roman" w:hint="eastAsia"/>
                <w:sz w:val="24"/>
                <w:szCs w:val="24"/>
                <w:shd w:val="clear" w:color="auto" w:fill="F9FAFB"/>
              </w:rPr>
              <w:t>7</w:t>
            </w:r>
            <w:r w:rsidR="007E43CE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8.72</w:t>
            </w:r>
            <w:r w:rsidR="007E43CE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亿元，其中海外业务</w:t>
            </w:r>
            <w:r w:rsidR="007E43CE">
              <w:rPr>
                <w:rFonts w:ascii="Times New Roman" w:hAnsi="Times New Roman" w:hint="eastAsia"/>
                <w:sz w:val="24"/>
                <w:szCs w:val="24"/>
                <w:shd w:val="clear" w:color="auto" w:fill="F9FAFB"/>
              </w:rPr>
              <w:t>3</w:t>
            </w:r>
            <w:r w:rsidR="007E43CE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0.43</w:t>
            </w:r>
            <w:r w:rsidR="007E43CE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亿元。</w:t>
            </w:r>
          </w:p>
          <w:p w14:paraId="5E8881C8" w14:textId="7C5C7E65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B37">
              <w:rPr>
                <w:rFonts w:ascii="Times New Roman" w:hAnsi="Times New Roman"/>
                <w:sz w:val="24"/>
                <w:szCs w:val="24"/>
              </w:rPr>
              <w:t>3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、请问一下</w:t>
            </w:r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公司上半年轨道交通业务毛利率有所下滑的原因？海外产品的</w:t>
            </w:r>
            <w:r w:rsidR="007B5279">
              <w:rPr>
                <w:rFonts w:ascii="Times New Roman" w:hAnsi="Times New Roman" w:hint="eastAsia"/>
                <w:bCs/>
                <w:sz w:val="24"/>
                <w:szCs w:val="24"/>
              </w:rPr>
              <w:t>毛利</w:t>
            </w:r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率是否比国内高？</w:t>
            </w:r>
          </w:p>
          <w:p w14:paraId="35E7C407" w14:textId="25E62CCC" w:rsidR="00E97B37" w:rsidRPr="00E97B37" w:rsidRDefault="00E97B37" w:rsidP="0028013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回答：</w:t>
            </w:r>
            <w:r w:rsidR="00A415C9"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  <w:r w:rsidR="00A415C9">
              <w:rPr>
                <w:rFonts w:ascii="Times New Roman" w:hAnsi="Times New Roman"/>
                <w:bCs/>
                <w:sz w:val="24"/>
                <w:szCs w:val="24"/>
              </w:rPr>
              <w:t>025</w:t>
            </w:r>
            <w:r w:rsidR="00A415C9">
              <w:rPr>
                <w:rFonts w:ascii="Times New Roman" w:hAnsi="Times New Roman"/>
                <w:bCs/>
                <w:sz w:val="24"/>
                <w:szCs w:val="24"/>
              </w:rPr>
              <w:t>年</w:t>
            </w:r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上半年，</w:t>
            </w:r>
            <w:proofErr w:type="gramStart"/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公司轨交业务</w:t>
            </w:r>
            <w:proofErr w:type="gramEnd"/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综合毛利率下降主要是产品销售结构变化所致，</w:t>
            </w:r>
            <w:r w:rsidR="003C2853" w:rsidRPr="00E97B37">
              <w:rPr>
                <w:rFonts w:ascii="Times New Roman" w:hAnsi="Times New Roman"/>
                <w:bCs/>
                <w:sz w:val="24"/>
                <w:szCs w:val="24"/>
              </w:rPr>
              <w:t>毛利率</w:t>
            </w:r>
            <w:r w:rsidR="003C2853">
              <w:rPr>
                <w:rFonts w:ascii="Times New Roman" w:hAnsi="Times New Roman"/>
                <w:bCs/>
                <w:sz w:val="24"/>
                <w:szCs w:val="24"/>
              </w:rPr>
              <w:t>相对较</w:t>
            </w:r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低的安全</w:t>
            </w:r>
            <w:bookmarkStart w:id="1" w:name="_GoBack"/>
            <w:bookmarkEnd w:id="1"/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门产品在</w:t>
            </w:r>
            <w:proofErr w:type="gramStart"/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公司</w:t>
            </w:r>
            <w:r w:rsidR="00851FFC">
              <w:rPr>
                <w:rFonts w:ascii="Times New Roman" w:hAnsi="Times New Roman" w:hint="eastAsia"/>
                <w:bCs/>
                <w:sz w:val="24"/>
                <w:szCs w:val="24"/>
              </w:rPr>
              <w:t>轨交</w:t>
            </w:r>
            <w:r w:rsidR="00851FFC">
              <w:rPr>
                <w:rFonts w:ascii="Times New Roman" w:hAnsi="Times New Roman"/>
                <w:bCs/>
                <w:sz w:val="24"/>
                <w:szCs w:val="24"/>
              </w:rPr>
              <w:t>业务</w:t>
            </w:r>
            <w:proofErr w:type="gramEnd"/>
            <w:r w:rsidRPr="00E97B37">
              <w:rPr>
                <w:rFonts w:ascii="Times New Roman" w:hAnsi="Times New Roman"/>
                <w:bCs/>
                <w:sz w:val="24"/>
                <w:szCs w:val="24"/>
              </w:rPr>
              <w:t>收入中占比有所上升。同类产品，海外市场的售价略高于境内市场，不同项目、不同产品毛利率也不一致，总体而言，海外市场的产品毛利率与国内市场基本持平。</w:t>
            </w:r>
          </w:p>
          <w:p w14:paraId="17580960" w14:textId="77777777" w:rsidR="00E97B37" w:rsidRPr="00E97B37" w:rsidRDefault="00E97B37" w:rsidP="0028013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4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、请问一下公司轨道交通业务海外拓展面临哪些风险？如何应对关税及本地化生产要求？</w:t>
            </w:r>
          </w:p>
          <w:p w14:paraId="276C70A2" w14:textId="0BC38C09" w:rsidR="00E97B37" w:rsidRPr="00E97B37" w:rsidRDefault="00E46AF1" w:rsidP="0028013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回答：在海外业务拓展过程中，</w:t>
            </w:r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虽面临国际政治环境波动、贸易关税壁垒、目标市场政策合</w:t>
            </w:r>
            <w:proofErr w:type="gramStart"/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规</w:t>
            </w:r>
            <w:proofErr w:type="gramEnd"/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等外部风险，但凭借技术领先和成本</w:t>
            </w:r>
            <w:r w:rsidR="007E2348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等</w:t>
            </w:r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优势</w:t>
            </w:r>
            <w:r w:rsidR="007E2348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地位</w:t>
            </w:r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，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公司产品质量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获得</w:t>
            </w:r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各大</w:t>
            </w:r>
            <w:r w:rsidR="007E2348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国际</w:t>
            </w:r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主机</w:t>
            </w:r>
            <w:proofErr w:type="gramStart"/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厂高度</w:t>
            </w:r>
            <w:proofErr w:type="gramEnd"/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认可</w:t>
            </w:r>
            <w:r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并</w:t>
            </w:r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支持公司参与国际竞争，为公司奠定了关键的市场信任基础。</w:t>
            </w:r>
          </w:p>
          <w:p w14:paraId="0629B8A4" w14:textId="1A3B6C52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应对措施方面，公司已在海外设立子公司提供技术对接与项目支持，未来会考虑部分项目推进本地化生产，采购当地符合标准的非核心零部件，</w:t>
            </w:r>
            <w:r w:rsidR="007E2348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但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核心技术与关键零部件仍保持自主可控，同时通过</w:t>
            </w:r>
            <w:r w:rsidR="00CD4ED5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加强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与当地主机厂合作降低政策与贸易等风险。</w:t>
            </w:r>
          </w:p>
          <w:p w14:paraId="099D317D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5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、请介绍一下公司新能源汽车业务发展情况？公司业务构成及客户主要有哪些？</w:t>
            </w:r>
          </w:p>
          <w:p w14:paraId="6E804DF1" w14:textId="77777777" w:rsidR="00E97B37" w:rsidRPr="00E97B37" w:rsidRDefault="00E97B37" w:rsidP="009147C9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回答：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2025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年上半年，公司新能源汽车零部件实现营业收入约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4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lastRenderedPageBreak/>
              <w:t>亿元，增幅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14.90%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。该业务作为公司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“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第二增长曲线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”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，产品主要包括充电总成、高压线束及高压模块三大品类，主要产品有充（放）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电枪线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产品（包括大功率液冷充电枪）、充电插座、充电桩、高压线束、高压连接器、电源分配单元等。</w:t>
            </w:r>
          </w:p>
          <w:p w14:paraId="4B3B05F8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目前主要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合作车企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有比亚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迪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、上汽、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一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汽、长城、吉利、奇瑞等传统车企，与其他新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势力车企的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合作也正在洽谈中，理想汽车已实现产品定点和销售。</w:t>
            </w:r>
          </w:p>
          <w:p w14:paraId="3260D8D5" w14:textId="0F7FD013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6</w:t>
            </w:r>
            <w:r w:rsidR="003B5F59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、请问一下智能健康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孵化业务的进展如何？未来规划是什么？</w:t>
            </w:r>
          </w:p>
          <w:p w14:paraId="486B1FC5" w14:textId="6E84065F" w:rsidR="00E97B37" w:rsidRPr="00E97B37" w:rsidRDefault="00F3372C" w:rsidP="00F3372C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回</w:t>
            </w:r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答：</w:t>
            </w:r>
            <w:r w:rsidR="003B5F59" w:rsidRPr="003B5F59">
              <w:rPr>
                <w:rFonts w:ascii="Times New Roman" w:hAnsi="Times New Roman" w:hint="eastAsia"/>
                <w:sz w:val="24"/>
                <w:szCs w:val="24"/>
                <w:shd w:val="clear" w:color="auto" w:fill="F9FAFB"/>
              </w:rPr>
              <w:t>整体上，公司智能健康业务尚处于产业孵化阶段，</w:t>
            </w:r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产品主要分为三类：一是面向养老人群的轮椅、老年代步车等银发经济产品；二是面向失能人群、术后康复人群的智能护理床、智能康复轮椅、移位机等；三是面向医疗机构的转运床、手术床等。目前智能轮椅</w:t>
            </w:r>
            <w:r w:rsidR="003C2853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、老年</w:t>
            </w:r>
            <w:proofErr w:type="gramStart"/>
            <w:r w:rsidR="003C2853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代步车</w:t>
            </w:r>
            <w:proofErr w:type="gramEnd"/>
            <w:r w:rsidR="003C2853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等</w:t>
            </w:r>
            <w:r w:rsidR="00E97B37"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产品已实现批量销售；移位机产品已在相关医院、康复养老机构进行使用并实现小批量销售；智能康复辅具产品正在相关医疗机构进行试用。</w:t>
            </w:r>
          </w:p>
          <w:p w14:paraId="50AEB1D7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未来，公司会聚焦医护、养护赛道，明确将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“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高增长潜力、高毛利空间、强技术壁垒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”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作为战略锚点，集中资源发展核心业务，持续强化产业能力与团队建设，加大高附加值产品的研发与推广力度，持续完善产品功能，提升产品竞争力，加速销售转化效率。</w:t>
            </w:r>
          </w:p>
          <w:p w14:paraId="58E966D0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7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、请问一下公司现金充裕，未来分红政策如何？</w:t>
            </w:r>
          </w:p>
          <w:p w14:paraId="0D1A0E03" w14:textId="77777777" w:rsidR="00E97B37" w:rsidRPr="00E97B37" w:rsidRDefault="00E97B37" w:rsidP="00F3372C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回答：公司高度重视股东权益和回报，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2024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年度利润分配预案为每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10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股派发人民币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2.5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元（含税），共派发现金红利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212,362,068.25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元（含税），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占归母净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利润的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60.53%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，分红率较上一年度有所提升。未来公司将继续秉持积极、持续、稳定回报股东的理念，保持积极稳健的现金分红政策，分红政策在保障股东回报的同时，也将会兼顾公司未来在重大新产品研发及新兴业务领域的投入需求。</w:t>
            </w:r>
          </w:p>
          <w:p w14:paraId="3B983167" w14:textId="109A453F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8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、请问一下公司研发投入主要投向哪些领域？</w:t>
            </w:r>
          </w:p>
          <w:p w14:paraId="58AC0B9E" w14:textId="77777777" w:rsidR="00E97B37" w:rsidRPr="00E97B37" w:rsidRDefault="00E97B37" w:rsidP="00A74022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回答：公司始终坚持创新驱动战略，聚焦重大新产品和关键核心技术的攻关与应用，始终保持高比例研发投入，重点方向包括：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轨交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lastRenderedPageBreak/>
              <w:t>主业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重点突破智能化、绿色化、轻量化领域关键技术，发展智能运维与低碳技术；汽车零部件业务加速大功率充电枪线、高压连接器等技术迭代；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科创孵化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业务聚焦智能健康及医疗领域需求，推动智能健康设备核心部件研发等。</w:t>
            </w:r>
          </w:p>
          <w:p w14:paraId="5B468603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未来，公司会通过持续的技术创新，保证既有产业的技术领先和产品领先；同时围绕公司发展战略，依托机电核心技术，进一步加大前</w:t>
            </w:r>
            <w:proofErr w:type="gramStart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研</w:t>
            </w:r>
            <w:proofErr w:type="gramEnd"/>
            <w:r w:rsidRPr="00E97B37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技术的研究和探索，在发展、孵化新能源汽车零部件、智能健康业务的同时，积极寻求新兴产业及未来产业的市场机会，为公司新产业的落地进行技术储备和产品储备。</w:t>
            </w:r>
          </w:p>
          <w:p w14:paraId="3B900438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7B37">
              <w:rPr>
                <w:rFonts w:ascii="Times New Roman" w:hAnsi="Times New Roman"/>
                <w:sz w:val="24"/>
                <w:szCs w:val="24"/>
              </w:rPr>
              <w:t>9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、请问一下公司</w:t>
            </w:r>
            <w:r w:rsidRPr="00E97B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当前资本开支计划如何？</w:t>
            </w:r>
          </w:p>
          <w:p w14:paraId="1EFEBE19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97B37">
              <w:rPr>
                <w:rFonts w:ascii="Times New Roman" w:hAnsi="Times New Roman"/>
                <w:sz w:val="24"/>
                <w:szCs w:val="24"/>
              </w:rPr>
              <w:t>回答：公司前期在智能工厂建设领域已进行较大规模投入，目前智能工厂已达国内卓越级水平。目前公司主要致力于通过智能制造和精益管理挖掘利用现有产能，暂无大规模的新建厂房等重大资本开支计划。</w:t>
            </w:r>
          </w:p>
          <w:p w14:paraId="2DCF922F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97B37">
              <w:rPr>
                <w:rFonts w:ascii="Times New Roman" w:hAnsi="Times New Roman"/>
                <w:sz w:val="24"/>
                <w:szCs w:val="24"/>
              </w:rPr>
              <w:t>10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、请问一下龙昕科技事件的民事赔偿进展如何？及对公司的影响如何？</w:t>
            </w:r>
          </w:p>
          <w:p w14:paraId="0F27EB65" w14:textId="77777777" w:rsidR="00E97B37" w:rsidRPr="00E97B37" w:rsidRDefault="00E97B37" w:rsidP="00D24350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97B37">
              <w:rPr>
                <w:rFonts w:ascii="Times New Roman" w:hAnsi="Times New Roman"/>
                <w:sz w:val="24"/>
                <w:szCs w:val="24"/>
              </w:rPr>
              <w:t>回答：截至半年度报告披露日，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17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名投资者索赔诉讼均已下达一审判决，累计诉请金额约为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3.83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亿元，一审判决康尼机电负担的赔偿损失和案件受理费合计金额为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8,314.65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万元，公司已按判决履行完毕对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9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名普通投资者的赔偿义务，合计赔偿损失金额为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139.48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万元，剩余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8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名投资者索赔诉讼正在二审程序中。</w:t>
            </w:r>
          </w:p>
          <w:p w14:paraId="543E4246" w14:textId="1FA79E5B" w:rsidR="00306020" w:rsidRPr="00E97B37" w:rsidRDefault="00E97B37" w:rsidP="00B40825">
            <w:pPr>
              <w:spacing w:line="360" w:lineRule="auto"/>
              <w:ind w:firstLineChars="200" w:firstLine="480"/>
              <w:rPr>
                <w:szCs w:val="24"/>
              </w:rPr>
            </w:pPr>
            <w:r w:rsidRPr="00E97B37">
              <w:rPr>
                <w:rFonts w:ascii="Times New Roman" w:hAnsi="Times New Roman"/>
                <w:sz w:val="24"/>
                <w:szCs w:val="24"/>
              </w:rPr>
              <w:t>截至半年度报告披露日，针对该事项，公司已合理预提投资者索赔损失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2.16</w:t>
            </w:r>
            <w:r w:rsidRPr="00E97B37">
              <w:rPr>
                <w:rFonts w:ascii="Times New Roman" w:hAnsi="Times New Roman"/>
                <w:sz w:val="24"/>
                <w:szCs w:val="24"/>
              </w:rPr>
              <w:t>亿元。根据一审判决显示，其他责任主体在一定比例范围内将承担连带责任，若二审维持一审判决，预计公司现有损失计提金额可覆盖相关索赔损失。后续公司将按照法律法规妥善处理投资者索赔事宜，依法承担社会责任，尽快为龙昕事件解决划上句号，让公司进入更加健康的发展轨道。</w:t>
            </w:r>
          </w:p>
        </w:tc>
      </w:tr>
      <w:tr w:rsidR="000921BB" w:rsidRPr="00335A24" w14:paraId="6238FA3E" w14:textId="77777777" w:rsidTr="00B30325">
        <w:trPr>
          <w:trHeight w:val="416"/>
        </w:trPr>
        <w:tc>
          <w:tcPr>
            <w:tcW w:w="1271" w:type="dxa"/>
            <w:vAlign w:val="center"/>
          </w:tcPr>
          <w:p w14:paraId="44006B43" w14:textId="77777777" w:rsidR="000921BB" w:rsidRPr="00335A24" w:rsidRDefault="000921BB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446" w:type="dxa"/>
          </w:tcPr>
          <w:p w14:paraId="5F1FCE44" w14:textId="77777777" w:rsidR="000921BB" w:rsidRPr="00E97B37" w:rsidRDefault="000921BB" w:rsidP="00854061">
            <w:pPr>
              <w:spacing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E97B37">
              <w:rPr>
                <w:rFonts w:ascii="Times New Roman" w:eastAsiaTheme="minorEastAsia" w:hAnsi="Times New Roman"/>
                <w:sz w:val="24"/>
                <w:szCs w:val="24"/>
              </w:rPr>
              <w:t>无</w:t>
            </w:r>
          </w:p>
        </w:tc>
      </w:tr>
    </w:tbl>
    <w:p w14:paraId="3EE4F9CF" w14:textId="77777777" w:rsidR="00A95D9D" w:rsidRPr="00335A24" w:rsidRDefault="00A95D9D" w:rsidP="00B30325">
      <w:pPr>
        <w:ind w:right="840"/>
        <w:jc w:val="right"/>
        <w:rPr>
          <w:rFonts w:ascii="Times New Roman" w:hAnsi="Times New Roman" w:hint="eastAsia"/>
          <w:highlight w:val="yellow"/>
        </w:rPr>
      </w:pPr>
    </w:p>
    <w:sectPr w:rsidR="00A95D9D" w:rsidRPr="00335A24">
      <w:footerReference w:type="even" r:id="rId6"/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8B161" w14:textId="77777777" w:rsidR="00365342" w:rsidRDefault="00365342">
      <w:r>
        <w:separator/>
      </w:r>
    </w:p>
  </w:endnote>
  <w:endnote w:type="continuationSeparator" w:id="0">
    <w:p w14:paraId="7C9B62BA" w14:textId="77777777" w:rsidR="00365342" w:rsidRDefault="0036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56D6E" w14:textId="77777777" w:rsidR="00B2465F" w:rsidRDefault="00B2465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840BF3" w14:textId="77777777" w:rsidR="00B2465F" w:rsidRDefault="00B2465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A4C4D" w14:textId="77777777" w:rsidR="00B2465F" w:rsidRDefault="00B2465F">
    <w:pPr>
      <w:pStyle w:val="a6"/>
      <w:ind w:right="360"/>
    </w:pPr>
  </w:p>
  <w:p w14:paraId="133DECA2" w14:textId="77777777" w:rsidR="00B2465F" w:rsidRDefault="00B2465F">
    <w:pPr>
      <w:pStyle w:val="a6"/>
      <w:ind w:firstLineChars="100"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41EB" w14:textId="77777777" w:rsidR="00365342" w:rsidRDefault="00365342">
      <w:r>
        <w:separator/>
      </w:r>
    </w:p>
  </w:footnote>
  <w:footnote w:type="continuationSeparator" w:id="0">
    <w:p w14:paraId="69B99EB7" w14:textId="77777777" w:rsidR="00365342" w:rsidRDefault="0036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5132D" w14:textId="77777777" w:rsidR="00B2465F" w:rsidRDefault="00B2465F">
    <w:pPr>
      <w:pStyle w:val="a3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A95D9D"/>
    <w:rsid w:val="00001A3B"/>
    <w:rsid w:val="000023D5"/>
    <w:rsid w:val="00005F3E"/>
    <w:rsid w:val="00007534"/>
    <w:rsid w:val="00020454"/>
    <w:rsid w:val="00025C19"/>
    <w:rsid w:val="0002695E"/>
    <w:rsid w:val="00035CA6"/>
    <w:rsid w:val="0003700D"/>
    <w:rsid w:val="00047CE6"/>
    <w:rsid w:val="0005542A"/>
    <w:rsid w:val="00057343"/>
    <w:rsid w:val="00071E16"/>
    <w:rsid w:val="00072562"/>
    <w:rsid w:val="000738DB"/>
    <w:rsid w:val="00083C2B"/>
    <w:rsid w:val="0008676A"/>
    <w:rsid w:val="000921BB"/>
    <w:rsid w:val="00093189"/>
    <w:rsid w:val="0009598D"/>
    <w:rsid w:val="000A0D40"/>
    <w:rsid w:val="000A34FF"/>
    <w:rsid w:val="000A768A"/>
    <w:rsid w:val="000B0AA2"/>
    <w:rsid w:val="000B4236"/>
    <w:rsid w:val="000C0B1B"/>
    <w:rsid w:val="000D02B1"/>
    <w:rsid w:val="000D4434"/>
    <w:rsid w:val="000E61DE"/>
    <w:rsid w:val="000F27C3"/>
    <w:rsid w:val="001001D5"/>
    <w:rsid w:val="00103D05"/>
    <w:rsid w:val="00105F8D"/>
    <w:rsid w:val="00110F52"/>
    <w:rsid w:val="001215C3"/>
    <w:rsid w:val="00125ABF"/>
    <w:rsid w:val="00125EFD"/>
    <w:rsid w:val="00151956"/>
    <w:rsid w:val="00164BF7"/>
    <w:rsid w:val="001716B6"/>
    <w:rsid w:val="00172B8F"/>
    <w:rsid w:val="00181474"/>
    <w:rsid w:val="0018325A"/>
    <w:rsid w:val="00185782"/>
    <w:rsid w:val="001911BF"/>
    <w:rsid w:val="00195A37"/>
    <w:rsid w:val="001B69A2"/>
    <w:rsid w:val="001C609F"/>
    <w:rsid w:val="001E0BE9"/>
    <w:rsid w:val="001E2891"/>
    <w:rsid w:val="001E4793"/>
    <w:rsid w:val="001E5407"/>
    <w:rsid w:val="001F64E0"/>
    <w:rsid w:val="001F76D2"/>
    <w:rsid w:val="002129F2"/>
    <w:rsid w:val="00213AF7"/>
    <w:rsid w:val="00214993"/>
    <w:rsid w:val="00233034"/>
    <w:rsid w:val="00236F92"/>
    <w:rsid w:val="00247495"/>
    <w:rsid w:val="00250891"/>
    <w:rsid w:val="00266DC3"/>
    <w:rsid w:val="00275387"/>
    <w:rsid w:val="00275D91"/>
    <w:rsid w:val="0028013A"/>
    <w:rsid w:val="002833C7"/>
    <w:rsid w:val="00284E2C"/>
    <w:rsid w:val="00294807"/>
    <w:rsid w:val="002957FD"/>
    <w:rsid w:val="002A43D0"/>
    <w:rsid w:val="002C0CC3"/>
    <w:rsid w:val="002C5AE9"/>
    <w:rsid w:val="002C6CBC"/>
    <w:rsid w:val="002D28C8"/>
    <w:rsid w:val="002D520D"/>
    <w:rsid w:val="002F732E"/>
    <w:rsid w:val="0030118B"/>
    <w:rsid w:val="00306020"/>
    <w:rsid w:val="003126C3"/>
    <w:rsid w:val="003128A5"/>
    <w:rsid w:val="00313975"/>
    <w:rsid w:val="0031569E"/>
    <w:rsid w:val="003169D2"/>
    <w:rsid w:val="00317F47"/>
    <w:rsid w:val="0032220F"/>
    <w:rsid w:val="00335A24"/>
    <w:rsid w:val="00335C83"/>
    <w:rsid w:val="0033621A"/>
    <w:rsid w:val="00337658"/>
    <w:rsid w:val="003530AD"/>
    <w:rsid w:val="003576F1"/>
    <w:rsid w:val="00360E7B"/>
    <w:rsid w:val="0036188C"/>
    <w:rsid w:val="00365342"/>
    <w:rsid w:val="0037280C"/>
    <w:rsid w:val="00373C20"/>
    <w:rsid w:val="0037532D"/>
    <w:rsid w:val="00375EA1"/>
    <w:rsid w:val="00387609"/>
    <w:rsid w:val="003B3CED"/>
    <w:rsid w:val="003B5F59"/>
    <w:rsid w:val="003C2853"/>
    <w:rsid w:val="003C30FF"/>
    <w:rsid w:val="003D5B0F"/>
    <w:rsid w:val="003E2A13"/>
    <w:rsid w:val="003E64A0"/>
    <w:rsid w:val="003F1F72"/>
    <w:rsid w:val="00411A26"/>
    <w:rsid w:val="004211FA"/>
    <w:rsid w:val="00424994"/>
    <w:rsid w:val="00424F06"/>
    <w:rsid w:val="00431175"/>
    <w:rsid w:val="00432AC7"/>
    <w:rsid w:val="004438BA"/>
    <w:rsid w:val="004558EF"/>
    <w:rsid w:val="004601C0"/>
    <w:rsid w:val="00466A9A"/>
    <w:rsid w:val="00467DB1"/>
    <w:rsid w:val="004A1E57"/>
    <w:rsid w:val="004A5E60"/>
    <w:rsid w:val="004C399A"/>
    <w:rsid w:val="004C5783"/>
    <w:rsid w:val="004E17B3"/>
    <w:rsid w:val="004F2810"/>
    <w:rsid w:val="004F473C"/>
    <w:rsid w:val="00500DE1"/>
    <w:rsid w:val="00504AA8"/>
    <w:rsid w:val="005052DB"/>
    <w:rsid w:val="0052119C"/>
    <w:rsid w:val="00522BCD"/>
    <w:rsid w:val="00524311"/>
    <w:rsid w:val="00540EF9"/>
    <w:rsid w:val="00545F43"/>
    <w:rsid w:val="005479A7"/>
    <w:rsid w:val="005511EB"/>
    <w:rsid w:val="005518E2"/>
    <w:rsid w:val="00554F1F"/>
    <w:rsid w:val="00556F81"/>
    <w:rsid w:val="00560C0A"/>
    <w:rsid w:val="00567B60"/>
    <w:rsid w:val="00571BB2"/>
    <w:rsid w:val="005930F0"/>
    <w:rsid w:val="005A6CA0"/>
    <w:rsid w:val="005A739A"/>
    <w:rsid w:val="005A741F"/>
    <w:rsid w:val="005B76C2"/>
    <w:rsid w:val="005B7B37"/>
    <w:rsid w:val="005C0D44"/>
    <w:rsid w:val="005C6EB8"/>
    <w:rsid w:val="005D0597"/>
    <w:rsid w:val="005D63A7"/>
    <w:rsid w:val="005E68D9"/>
    <w:rsid w:val="005F0800"/>
    <w:rsid w:val="006001CC"/>
    <w:rsid w:val="00610B10"/>
    <w:rsid w:val="00613D7C"/>
    <w:rsid w:val="00622356"/>
    <w:rsid w:val="006345BD"/>
    <w:rsid w:val="006417A2"/>
    <w:rsid w:val="00641C81"/>
    <w:rsid w:val="00644131"/>
    <w:rsid w:val="00655326"/>
    <w:rsid w:val="0066037A"/>
    <w:rsid w:val="0067155E"/>
    <w:rsid w:val="0067505D"/>
    <w:rsid w:val="00676940"/>
    <w:rsid w:val="00686074"/>
    <w:rsid w:val="0069286B"/>
    <w:rsid w:val="006B0BD1"/>
    <w:rsid w:val="006B52B6"/>
    <w:rsid w:val="006B58AB"/>
    <w:rsid w:val="006B7291"/>
    <w:rsid w:val="006B7E12"/>
    <w:rsid w:val="006D3262"/>
    <w:rsid w:val="006D37FD"/>
    <w:rsid w:val="007022CE"/>
    <w:rsid w:val="007032BF"/>
    <w:rsid w:val="00704E22"/>
    <w:rsid w:val="007065B1"/>
    <w:rsid w:val="0071077B"/>
    <w:rsid w:val="00734FA8"/>
    <w:rsid w:val="007514AA"/>
    <w:rsid w:val="00755A6E"/>
    <w:rsid w:val="00763429"/>
    <w:rsid w:val="00764EE9"/>
    <w:rsid w:val="00770823"/>
    <w:rsid w:val="007722F1"/>
    <w:rsid w:val="007724A0"/>
    <w:rsid w:val="007739AE"/>
    <w:rsid w:val="007862AF"/>
    <w:rsid w:val="00794789"/>
    <w:rsid w:val="007A44CD"/>
    <w:rsid w:val="007B5279"/>
    <w:rsid w:val="007B68A1"/>
    <w:rsid w:val="007D5428"/>
    <w:rsid w:val="007E0184"/>
    <w:rsid w:val="007E1C6B"/>
    <w:rsid w:val="007E2348"/>
    <w:rsid w:val="007E43CE"/>
    <w:rsid w:val="008018C3"/>
    <w:rsid w:val="00807555"/>
    <w:rsid w:val="00814C57"/>
    <w:rsid w:val="00831C49"/>
    <w:rsid w:val="00840366"/>
    <w:rsid w:val="00846A56"/>
    <w:rsid w:val="00847AF0"/>
    <w:rsid w:val="00847DD5"/>
    <w:rsid w:val="00851FFC"/>
    <w:rsid w:val="00853C9F"/>
    <w:rsid w:val="00854061"/>
    <w:rsid w:val="00855219"/>
    <w:rsid w:val="00860B62"/>
    <w:rsid w:val="00861386"/>
    <w:rsid w:val="00872885"/>
    <w:rsid w:val="008761A2"/>
    <w:rsid w:val="00882E2A"/>
    <w:rsid w:val="0088706A"/>
    <w:rsid w:val="00887523"/>
    <w:rsid w:val="00890FA0"/>
    <w:rsid w:val="008A6C07"/>
    <w:rsid w:val="008A6C24"/>
    <w:rsid w:val="008B110E"/>
    <w:rsid w:val="008E1372"/>
    <w:rsid w:val="008E22A3"/>
    <w:rsid w:val="008E3591"/>
    <w:rsid w:val="009036C0"/>
    <w:rsid w:val="00911606"/>
    <w:rsid w:val="009147C9"/>
    <w:rsid w:val="00921D64"/>
    <w:rsid w:val="00924CB2"/>
    <w:rsid w:val="00925255"/>
    <w:rsid w:val="00957FD8"/>
    <w:rsid w:val="009634EA"/>
    <w:rsid w:val="00964D01"/>
    <w:rsid w:val="00972BE2"/>
    <w:rsid w:val="00973330"/>
    <w:rsid w:val="00977E32"/>
    <w:rsid w:val="009864B6"/>
    <w:rsid w:val="009914D3"/>
    <w:rsid w:val="00996208"/>
    <w:rsid w:val="0099653B"/>
    <w:rsid w:val="009A055A"/>
    <w:rsid w:val="009A182E"/>
    <w:rsid w:val="009A7094"/>
    <w:rsid w:val="009C09E5"/>
    <w:rsid w:val="009C0E8D"/>
    <w:rsid w:val="009C315D"/>
    <w:rsid w:val="009D60F4"/>
    <w:rsid w:val="009D74B3"/>
    <w:rsid w:val="009E0097"/>
    <w:rsid w:val="009E06A6"/>
    <w:rsid w:val="009E2E5D"/>
    <w:rsid w:val="009F0167"/>
    <w:rsid w:val="009F57DB"/>
    <w:rsid w:val="009F5BDA"/>
    <w:rsid w:val="00A0487C"/>
    <w:rsid w:val="00A130AD"/>
    <w:rsid w:val="00A23CAC"/>
    <w:rsid w:val="00A37487"/>
    <w:rsid w:val="00A415C9"/>
    <w:rsid w:val="00A44E55"/>
    <w:rsid w:val="00A472D3"/>
    <w:rsid w:val="00A510CF"/>
    <w:rsid w:val="00A53F4F"/>
    <w:rsid w:val="00A657E1"/>
    <w:rsid w:val="00A74022"/>
    <w:rsid w:val="00A7560B"/>
    <w:rsid w:val="00A80979"/>
    <w:rsid w:val="00A8538A"/>
    <w:rsid w:val="00A904AA"/>
    <w:rsid w:val="00A91FDF"/>
    <w:rsid w:val="00A95D9D"/>
    <w:rsid w:val="00AA22FA"/>
    <w:rsid w:val="00AB0CF6"/>
    <w:rsid w:val="00AC4A6C"/>
    <w:rsid w:val="00AC50FD"/>
    <w:rsid w:val="00AD07DA"/>
    <w:rsid w:val="00AD0BDA"/>
    <w:rsid w:val="00AD1E67"/>
    <w:rsid w:val="00AD38C3"/>
    <w:rsid w:val="00AD4EC2"/>
    <w:rsid w:val="00AD5092"/>
    <w:rsid w:val="00AE2616"/>
    <w:rsid w:val="00AE490A"/>
    <w:rsid w:val="00AF0A47"/>
    <w:rsid w:val="00AF6FE2"/>
    <w:rsid w:val="00B026A3"/>
    <w:rsid w:val="00B16CA6"/>
    <w:rsid w:val="00B20E1A"/>
    <w:rsid w:val="00B2465F"/>
    <w:rsid w:val="00B30325"/>
    <w:rsid w:val="00B34578"/>
    <w:rsid w:val="00B372AB"/>
    <w:rsid w:val="00B40825"/>
    <w:rsid w:val="00B4323D"/>
    <w:rsid w:val="00B44BEB"/>
    <w:rsid w:val="00B54F9A"/>
    <w:rsid w:val="00B5773E"/>
    <w:rsid w:val="00B6550C"/>
    <w:rsid w:val="00B72A6D"/>
    <w:rsid w:val="00B839CF"/>
    <w:rsid w:val="00B90D66"/>
    <w:rsid w:val="00BA3D8A"/>
    <w:rsid w:val="00BB0AEE"/>
    <w:rsid w:val="00BB131A"/>
    <w:rsid w:val="00BB14D8"/>
    <w:rsid w:val="00BB69F5"/>
    <w:rsid w:val="00BD1A4D"/>
    <w:rsid w:val="00BD1A96"/>
    <w:rsid w:val="00BE4332"/>
    <w:rsid w:val="00BF47C7"/>
    <w:rsid w:val="00C04BDC"/>
    <w:rsid w:val="00C21372"/>
    <w:rsid w:val="00C225AD"/>
    <w:rsid w:val="00C321A4"/>
    <w:rsid w:val="00C416EF"/>
    <w:rsid w:val="00C56E7D"/>
    <w:rsid w:val="00C60424"/>
    <w:rsid w:val="00C7263D"/>
    <w:rsid w:val="00C83C91"/>
    <w:rsid w:val="00C84CC3"/>
    <w:rsid w:val="00C85B68"/>
    <w:rsid w:val="00C85EB7"/>
    <w:rsid w:val="00C92277"/>
    <w:rsid w:val="00C9412E"/>
    <w:rsid w:val="00CA6D48"/>
    <w:rsid w:val="00CB268E"/>
    <w:rsid w:val="00CB4B37"/>
    <w:rsid w:val="00CC2666"/>
    <w:rsid w:val="00CD413E"/>
    <w:rsid w:val="00CD4ED5"/>
    <w:rsid w:val="00CD7B76"/>
    <w:rsid w:val="00CE77EB"/>
    <w:rsid w:val="00D144F0"/>
    <w:rsid w:val="00D24162"/>
    <w:rsid w:val="00D24350"/>
    <w:rsid w:val="00D35149"/>
    <w:rsid w:val="00D3609C"/>
    <w:rsid w:val="00D379B8"/>
    <w:rsid w:val="00D42ED5"/>
    <w:rsid w:val="00D6261B"/>
    <w:rsid w:val="00D77BA3"/>
    <w:rsid w:val="00D822AE"/>
    <w:rsid w:val="00D842B2"/>
    <w:rsid w:val="00DA17D6"/>
    <w:rsid w:val="00DA1967"/>
    <w:rsid w:val="00DC53B5"/>
    <w:rsid w:val="00DD4751"/>
    <w:rsid w:val="00DD47F6"/>
    <w:rsid w:val="00DE37DB"/>
    <w:rsid w:val="00DE7482"/>
    <w:rsid w:val="00DF53F1"/>
    <w:rsid w:val="00E068A0"/>
    <w:rsid w:val="00E119A7"/>
    <w:rsid w:val="00E133FB"/>
    <w:rsid w:val="00E273DB"/>
    <w:rsid w:val="00E30F0E"/>
    <w:rsid w:val="00E3750C"/>
    <w:rsid w:val="00E46AF1"/>
    <w:rsid w:val="00E7401E"/>
    <w:rsid w:val="00E82D2C"/>
    <w:rsid w:val="00E8501C"/>
    <w:rsid w:val="00E87560"/>
    <w:rsid w:val="00E90033"/>
    <w:rsid w:val="00E9057C"/>
    <w:rsid w:val="00E945B2"/>
    <w:rsid w:val="00E97B37"/>
    <w:rsid w:val="00EB23CD"/>
    <w:rsid w:val="00EB4D74"/>
    <w:rsid w:val="00EB7E76"/>
    <w:rsid w:val="00EC5A77"/>
    <w:rsid w:val="00EE1D77"/>
    <w:rsid w:val="00EE6457"/>
    <w:rsid w:val="00EF1190"/>
    <w:rsid w:val="00F0679E"/>
    <w:rsid w:val="00F07494"/>
    <w:rsid w:val="00F104DD"/>
    <w:rsid w:val="00F23C8D"/>
    <w:rsid w:val="00F3372C"/>
    <w:rsid w:val="00F3681D"/>
    <w:rsid w:val="00F410A2"/>
    <w:rsid w:val="00F42855"/>
    <w:rsid w:val="00F52234"/>
    <w:rsid w:val="00F537D2"/>
    <w:rsid w:val="00F607DE"/>
    <w:rsid w:val="00F66B58"/>
    <w:rsid w:val="00F82686"/>
    <w:rsid w:val="00F84BD3"/>
    <w:rsid w:val="00F8796B"/>
    <w:rsid w:val="00F96ED9"/>
    <w:rsid w:val="00FB11BF"/>
    <w:rsid w:val="00FE6CC2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0CBBE2"/>
  <w15:docId w15:val="{2467BEFF-8E19-4505-954B-640048D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0"/>
    <w:qFormat/>
    <w:rsid w:val="00B2465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6"/>
    <w:qFormat/>
    <w:rsid w:val="00B2465F"/>
    <w:rPr>
      <w:rFonts w:ascii="Times New Roman" w:hAnsi="Times New Roman"/>
      <w:kern w:val="2"/>
      <w:sz w:val="18"/>
      <w:szCs w:val="18"/>
    </w:rPr>
  </w:style>
  <w:style w:type="character" w:styleId="a7">
    <w:name w:val="page number"/>
    <w:basedOn w:val="a0"/>
    <w:qFormat/>
    <w:rsid w:val="00B2465F"/>
  </w:style>
  <w:style w:type="character" w:customStyle="1" w:styleId="Char">
    <w:name w:val="页眉 Char"/>
    <w:basedOn w:val="a0"/>
    <w:link w:val="a3"/>
    <w:qFormat/>
    <w:rsid w:val="00B2465F"/>
    <w:rPr>
      <w:kern w:val="2"/>
      <w:sz w:val="18"/>
      <w:szCs w:val="18"/>
    </w:rPr>
  </w:style>
  <w:style w:type="paragraph" w:styleId="a8">
    <w:name w:val="Balloon Text"/>
    <w:basedOn w:val="a"/>
    <w:link w:val="Char1"/>
    <w:rsid w:val="007D5428"/>
    <w:rPr>
      <w:sz w:val="18"/>
      <w:szCs w:val="18"/>
    </w:rPr>
  </w:style>
  <w:style w:type="character" w:customStyle="1" w:styleId="Char1">
    <w:name w:val="批注框文本 Char"/>
    <w:basedOn w:val="a0"/>
    <w:link w:val="a8"/>
    <w:rsid w:val="007D5428"/>
    <w:rPr>
      <w:kern w:val="2"/>
      <w:sz w:val="18"/>
      <w:szCs w:val="18"/>
    </w:rPr>
  </w:style>
  <w:style w:type="character" w:styleId="a9">
    <w:name w:val="annotation reference"/>
    <w:basedOn w:val="a0"/>
    <w:rsid w:val="00313975"/>
    <w:rPr>
      <w:sz w:val="21"/>
      <w:szCs w:val="21"/>
    </w:rPr>
  </w:style>
  <w:style w:type="paragraph" w:styleId="aa">
    <w:name w:val="annotation text"/>
    <w:basedOn w:val="a"/>
    <w:link w:val="Char2"/>
    <w:rsid w:val="00313975"/>
    <w:pPr>
      <w:jc w:val="left"/>
    </w:pPr>
  </w:style>
  <w:style w:type="character" w:customStyle="1" w:styleId="Char2">
    <w:name w:val="批注文字 Char"/>
    <w:basedOn w:val="a0"/>
    <w:link w:val="aa"/>
    <w:rsid w:val="00313975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rsid w:val="00313975"/>
    <w:rPr>
      <w:b/>
      <w:bCs/>
    </w:rPr>
  </w:style>
  <w:style w:type="character" w:customStyle="1" w:styleId="Char3">
    <w:name w:val="批注主题 Char"/>
    <w:basedOn w:val="Char2"/>
    <w:link w:val="ab"/>
    <w:rsid w:val="00313975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005F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1285</Words>
  <Characters>1737</Characters>
  <Application>Microsoft Office Word</Application>
  <DocSecurity>0</DocSecurity>
  <Lines>193</Lines>
  <Paragraphs>188</Paragraphs>
  <ScaleCrop>false</ScaleCrop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帐户</cp:lastModifiedBy>
  <cp:revision>45</cp:revision>
  <cp:lastPrinted>2025-06-13T02:36:00Z</cp:lastPrinted>
  <dcterms:created xsi:type="dcterms:W3CDTF">2025-10-16T07:02:00Z</dcterms:created>
  <dcterms:modified xsi:type="dcterms:W3CDTF">2025-10-17T03:09:00Z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