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677" w14:textId="77777777" w:rsidR="00F26EC8" w:rsidRDefault="0000000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 w:val="24"/>
          <w:szCs w:val="24"/>
        </w:rPr>
      </w:pPr>
      <w:r>
        <w:rPr>
          <w:rFonts w:ascii="仿宋_GB2312" w:eastAsia="仿宋_GB2312" w:hAnsi="仿宋_GB2312" w:cs="仿宋_GB2312" w:hint="eastAsia"/>
          <w:iCs/>
          <w:sz w:val="24"/>
          <w:szCs w:val="24"/>
        </w:rPr>
        <w:t>证券代码：600415                                 证券简称：小商品城</w:t>
      </w:r>
      <w:r>
        <w:rPr>
          <w:rFonts w:ascii="宋体" w:hAnsi="宋体"/>
          <w:b/>
          <w:bCs/>
          <w:iCs/>
          <w:sz w:val="24"/>
          <w:szCs w:val="24"/>
        </w:rPr>
        <w:t xml:space="preserve"> </w:t>
      </w:r>
    </w:p>
    <w:p w14:paraId="6C5DD870" w14:textId="77777777" w:rsidR="00F26EC8" w:rsidRDefault="00000000">
      <w:pPr>
        <w:keepNext/>
        <w:keepLines/>
        <w:jc w:val="center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浙江中国小商品城集团股份有限公司</w:t>
      </w:r>
    </w:p>
    <w:p w14:paraId="2C9AEFA2" w14:textId="77777777" w:rsidR="00F26EC8" w:rsidRDefault="00000000">
      <w:pPr>
        <w:keepNext/>
        <w:keepLines/>
        <w:jc w:val="center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投资者关系活动记录表</w:t>
      </w:r>
    </w:p>
    <w:p w14:paraId="12A62BD2" w14:textId="77777777" w:rsidR="00F26EC8" w:rsidRDefault="00000000">
      <w:pPr>
        <w:keepNext/>
        <w:keepLines/>
        <w:spacing w:beforeLines="50" w:before="156" w:afterLines="50" w:after="156" w:line="360" w:lineRule="auto"/>
        <w:jc w:val="right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编号：2025-012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379"/>
      </w:tblGrid>
      <w:tr w:rsidR="00F26EC8" w14:paraId="57070E9C" w14:textId="77777777">
        <w:tc>
          <w:tcPr>
            <w:tcW w:w="2411" w:type="dxa"/>
            <w:vAlign w:val="center"/>
          </w:tcPr>
          <w:p w14:paraId="034080E7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4CB8528A" w14:textId="77777777" w:rsidR="00F26EC8" w:rsidRDefault="00000000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分析师会议</w:t>
            </w:r>
          </w:p>
          <w:p w14:paraId="771D4756" w14:textId="77777777" w:rsidR="00F26EC8" w:rsidRDefault="00000000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业绩说明会</w:t>
            </w:r>
          </w:p>
          <w:p w14:paraId="6AA14D57" w14:textId="77777777" w:rsidR="00F26EC8" w:rsidRDefault="00000000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路演活动</w:t>
            </w:r>
          </w:p>
          <w:p w14:paraId="610D54DB" w14:textId="77777777" w:rsidR="00F26EC8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电话会议</w:t>
            </w:r>
          </w:p>
          <w:p w14:paraId="156C2FE1" w14:textId="77777777" w:rsidR="00F26EC8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其他 （</w:t>
            </w:r>
            <w:r>
              <w:rPr>
                <w:rFonts w:ascii="宋体" w:hAnsi="宋体" w:cs="仿宋_GB2312" w:hint="eastAsia"/>
                <w:sz w:val="24"/>
                <w:szCs w:val="24"/>
                <w:u w:val="single"/>
              </w:rPr>
              <w:t>投资者见面会）</w:t>
            </w:r>
          </w:p>
        </w:tc>
      </w:tr>
      <w:tr w:rsidR="00F26EC8" w14:paraId="7C51E963" w14:textId="77777777">
        <w:tc>
          <w:tcPr>
            <w:tcW w:w="2411" w:type="dxa"/>
            <w:vAlign w:val="center"/>
          </w:tcPr>
          <w:p w14:paraId="70FAC1EB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vAlign w:val="center"/>
          </w:tcPr>
          <w:p w14:paraId="5B9AEA38" w14:textId="77777777" w:rsidR="00F26EC8" w:rsidRDefault="00000000">
            <w:pPr>
              <w:tabs>
                <w:tab w:val="center" w:pos="2798"/>
              </w:tabs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长江证券；申万宏源证券；麦高证券；国盛证券；国泰海通证券；华创证券；东方财富证券；东吴证券；财通证券；国信证券；国元证券；浙商证券；华西证券；中泰证券；中国国际金融；渤海证券；兴业证券；信达证券；方正证券；中银国际证券；山西证券；中信证券；瑞银证券；招商证券；天风证券；平安证券；国海证券；国金证券；广发证券；野村东方国际证券；国联民生证券；中信建投证券、诺德基金；民生加银基金；宏利基金；泰信基金；中海基金；浙商基金；长盛基金；大成基金；泉果基金；建信基金；兴业基金；嘉实基金；中邮创业基金；华富基金；诺安基金；国金基金；长安基金；摩根士丹利基金(中国)；广发基金；中加基金；长城基金；华夏基金；信达澳亚基金；新华基金；华泰保兴基金；兴证全球基金；招商基金；交银施罗德基金；西部利得基金；博时基金；天治基金；易方达基金；银河基金；国寿安保基金；汇安基金；国泰基金、招商证券资管；光大证券资管；甬兴证券资管、太保资管；泰康资管；华泰保险；中国平安；国富人寿；众安财险；国华兴益资管；太平养老；友邦人寿；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TranquilityCapital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；大湾区基金；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HSZGroup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；MILLENNIUMCAPITALMANAGEMENT（HONGKONG）LIMITED；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MoonCapital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；MORGANSTANLEYINVESTMENTMANAGEMENT；高盛资管(香港)；花旗国际；IGWT投资；柏骏资管；东方汇财证券；龙石资管；雾凇资本；麦格理资本、保银资管；立格资本；宏利投资；信安资金管理；香港资产；东英资管；源峰基金；安联环球；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LMRPartners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；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NasTyx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 xml:space="preserve"> Cap；朴一资本；TX Capital (HK)Limited；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JKCapitalManagementLimited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等260余家机构。</w:t>
            </w:r>
          </w:p>
        </w:tc>
      </w:tr>
      <w:tr w:rsidR="00F26EC8" w14:paraId="12C96176" w14:textId="77777777">
        <w:tc>
          <w:tcPr>
            <w:tcW w:w="2411" w:type="dxa"/>
            <w:vAlign w:val="center"/>
          </w:tcPr>
          <w:p w14:paraId="7E9BE2D3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lastRenderedPageBreak/>
              <w:t>会议时间</w:t>
            </w:r>
          </w:p>
        </w:tc>
        <w:tc>
          <w:tcPr>
            <w:tcW w:w="6379" w:type="dxa"/>
            <w:vAlign w:val="center"/>
          </w:tcPr>
          <w:p w14:paraId="6239FCCD" w14:textId="77777777" w:rsidR="00F26EC8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2025年10月15日</w:t>
            </w:r>
          </w:p>
        </w:tc>
      </w:tr>
      <w:tr w:rsidR="00F26EC8" w14:paraId="58AC16BB" w14:textId="77777777">
        <w:tc>
          <w:tcPr>
            <w:tcW w:w="2411" w:type="dxa"/>
            <w:vAlign w:val="center"/>
          </w:tcPr>
          <w:p w14:paraId="760B77AE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会议地点</w:t>
            </w:r>
          </w:p>
        </w:tc>
        <w:tc>
          <w:tcPr>
            <w:tcW w:w="6379" w:type="dxa"/>
            <w:vAlign w:val="center"/>
          </w:tcPr>
          <w:p w14:paraId="5B3D10F3" w14:textId="77777777" w:rsidR="00F26EC8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商城集团大厦会议室</w:t>
            </w:r>
          </w:p>
        </w:tc>
      </w:tr>
      <w:tr w:rsidR="00F26EC8" w14:paraId="7EEB0211" w14:textId="77777777">
        <w:tc>
          <w:tcPr>
            <w:tcW w:w="2411" w:type="dxa"/>
            <w:vAlign w:val="center"/>
          </w:tcPr>
          <w:p w14:paraId="64C1F394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53E2336E" w14:textId="77777777" w:rsidR="00F26EC8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董事会秘书：许杭</w:t>
            </w:r>
          </w:p>
          <w:p w14:paraId="6F59FBB6" w14:textId="77777777" w:rsidR="00F26EC8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证券事务代表：何志超</w:t>
            </w:r>
          </w:p>
          <w:p w14:paraId="2AE79208" w14:textId="77777777" w:rsidR="00F26EC8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公司证券部</w:t>
            </w:r>
          </w:p>
        </w:tc>
      </w:tr>
      <w:tr w:rsidR="00F26EC8" w14:paraId="533FEED3" w14:textId="77777777">
        <w:trPr>
          <w:trHeight w:val="490"/>
        </w:trPr>
        <w:tc>
          <w:tcPr>
            <w:tcW w:w="2411" w:type="dxa"/>
            <w:vAlign w:val="center"/>
          </w:tcPr>
          <w:p w14:paraId="19770D12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4D3639D0" w14:textId="77777777" w:rsidR="00F26EC8" w:rsidRDefault="00000000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新市场中的时尚珠宝、创意潮玩、智能装备等八大行业与老市场相比，其商业模式有何不同？公司在策划、媒体宣传及产业承接方面将如何支持六区商户拓展业务？</w:t>
            </w:r>
          </w:p>
          <w:p w14:paraId="05161FF9" w14:textId="77777777" w:rsidR="00F26EC8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答：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新市场的八大行业基于国家市场监管总局定义的26个小商品大类发展而来，但在细分领域如时尚珠宝、创意潮玩、智能装备等方面呈现出更高层次的发展特征。以时尚珠宝为例，相较于老市场以普通饰品为主，新市场定位中高端，强调品牌化和原创设计，商铺装修更具现代感和视觉吸引力，部分已成为网红打卡点，增强了传播效应。此外，新市场商铺面积更大，商户投入更多资源进行形象升级，整体环境显著优于老市场。在商业模式上，新市场以“全球数贸中心”为名，更突出数字贸易的应用，通过“1+3+N”发展体系实现数字化赋能。“1”指“数贸港”，集数据展示、数据交易、新品发布于一体，打造国内首个小商品行业数据交易中心，并构建“一带一路”人工智能创新中心的算力与云服务支撑体系，建设全球畅通的用户友好型网络空间；“3”指“三大数贸平台”，包括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Chinagoods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平台、数字化供应链平台以及义支付平台；“N”代表多个数字化应用场景。该体系全面推动数据驱动贸易，助力商户在新型商业环境中高效开展业务。此外，新市场商户结构更趋年轻化，商二代、创二代、新生代占比达52%，拥有自主品牌或经营IP的商户占57%。数字化赋能体系不仅覆盖新市场，也延伸至1至5区传统市场，全面提升整体商业竞争力。</w:t>
            </w:r>
          </w:p>
          <w:p w14:paraId="6A9B4D77" w14:textId="77777777" w:rsidR="00F26EC8" w:rsidRDefault="00F26EC8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58167363" w14:textId="77777777" w:rsidR="00F26EC8" w:rsidRDefault="00000000">
            <w:pPr>
              <w:ind w:firstLineChars="200" w:firstLine="482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2.义支付在纳入1039项下的收结汇业务后，未来两年在业务延伸、规模增长及利润方面的展望如何？</w:t>
            </w:r>
          </w:p>
          <w:p w14:paraId="4D27DEEA" w14:textId="77777777" w:rsidR="00F26EC8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答：义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支付目前正开展市场贸易采购方式结算服务试点，未来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义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支付的增长前景可期，除服务义乌本地生态外，还通过在香港设立子公司并申请TCSP和MSO牌照，推进海外项目拓展。待相关牌照获批后，将在香港及海外市场逐步开展贸易项下的支付结算服务，推动整体业务进入新的发展阶段。</w:t>
            </w:r>
          </w:p>
          <w:p w14:paraId="2B383D9B" w14:textId="77777777" w:rsidR="00F26EC8" w:rsidRDefault="00F26EC8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26FAB722" w14:textId="77777777" w:rsidR="00F26EC8" w:rsidRDefault="00000000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3.关于六区目前招商已基本完成，但了解到仍有部分区域预留，后续预留部分的招商规划是否可以分享？</w:t>
            </w:r>
          </w:p>
          <w:p w14:paraId="075E5033" w14:textId="77777777" w:rsidR="00F26EC8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答：全球数贸中心今年已完成1至3层的招商，涵盖八大行业，共3700多个商铺，目前已顺利开业。剩余第四层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lastRenderedPageBreak/>
              <w:t>计划于明年启动招商，具体将根据今年1至3层正式运营后的表现进行规划。</w:t>
            </w:r>
          </w:p>
          <w:p w14:paraId="124326C7" w14:textId="77777777" w:rsidR="00F26EC8" w:rsidRDefault="00F26EC8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3AC6E168" w14:textId="77777777" w:rsidR="00F26EC8" w:rsidRDefault="00000000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4.Chinagoods平台指标预期规划是怎样的？</w:t>
            </w:r>
          </w:p>
          <w:p w14:paraId="786DD782" w14:textId="1D8164EF" w:rsidR="00F26EC8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答：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Chinagoods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平台推出</w:t>
            </w:r>
            <w:r w:rsidR="00653DF1" w:rsidRPr="00653DF1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“世界义乌”商贸大模型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，已落地13个AI应用，在传统和新兴市场均有实践。这些AI应用在设计、行业适配等场景中显著提升了效率，帮助商户实现降本增效。为推动普及，平台在国庆期间派出数百名AI培训师完成市场全覆盖培训。平台的发展方向明确：将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Chinagoods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打造为一站式贸易服务平台，通过AI技术深度赋能不同行业和场景。</w:t>
            </w:r>
          </w:p>
          <w:p w14:paraId="299FFE41" w14:textId="77777777" w:rsidR="00F26EC8" w:rsidRDefault="00F26EC8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14:paraId="758385F0" w14:textId="77777777" w:rsidR="00F26EC8" w:rsidRDefault="00000000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5.公司对未来的分红有什么规划？</w:t>
            </w:r>
          </w:p>
          <w:p w14:paraId="63E63A72" w14:textId="77777777" w:rsidR="00F26EC8" w:rsidRDefault="00000000">
            <w:pPr>
              <w:ind w:firstLineChars="200" w:firstLine="4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答：未来将持续提升分红比例，争取不断提升股东回报。</w:t>
            </w:r>
          </w:p>
        </w:tc>
      </w:tr>
      <w:tr w:rsidR="00F26EC8" w14:paraId="3A534501" w14:textId="77777777">
        <w:trPr>
          <w:trHeight w:val="90"/>
        </w:trPr>
        <w:tc>
          <w:tcPr>
            <w:tcW w:w="2411" w:type="dxa"/>
            <w:vAlign w:val="center"/>
          </w:tcPr>
          <w:p w14:paraId="524BB622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vAlign w:val="center"/>
          </w:tcPr>
          <w:p w14:paraId="1302A170" w14:textId="77777777" w:rsidR="00F26EC8" w:rsidRDefault="00000000"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F26EC8" w14:paraId="3103E0D8" w14:textId="77777777">
        <w:trPr>
          <w:trHeight w:val="1130"/>
        </w:trPr>
        <w:tc>
          <w:tcPr>
            <w:tcW w:w="2411" w:type="dxa"/>
            <w:vAlign w:val="center"/>
          </w:tcPr>
          <w:p w14:paraId="304202EB" w14:textId="77777777" w:rsidR="00F26EC8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vAlign w:val="center"/>
          </w:tcPr>
          <w:p w14:paraId="378B2756" w14:textId="77777777" w:rsidR="00F26EC8" w:rsidRDefault="00000000"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14:paraId="4FF77972" w14:textId="77777777" w:rsidR="00F26EC8" w:rsidRDefault="00F26EC8">
      <w:pPr>
        <w:spacing w:line="360" w:lineRule="auto"/>
      </w:pPr>
    </w:p>
    <w:sectPr w:rsidR="00F26E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C8"/>
    <w:rsid w:val="00336192"/>
    <w:rsid w:val="00586DEF"/>
    <w:rsid w:val="00653DF1"/>
    <w:rsid w:val="00E26C90"/>
    <w:rsid w:val="00F26EC8"/>
    <w:rsid w:val="0C172490"/>
    <w:rsid w:val="1C8011BD"/>
    <w:rsid w:val="1D547238"/>
    <w:rsid w:val="1DE75D86"/>
    <w:rsid w:val="1FFC1EF1"/>
    <w:rsid w:val="22765384"/>
    <w:rsid w:val="2A644BB0"/>
    <w:rsid w:val="2EE817B0"/>
    <w:rsid w:val="31D90E48"/>
    <w:rsid w:val="331C1F78"/>
    <w:rsid w:val="477A2C98"/>
    <w:rsid w:val="51237AAF"/>
    <w:rsid w:val="54CC0884"/>
    <w:rsid w:val="56194AE5"/>
    <w:rsid w:val="603D0153"/>
    <w:rsid w:val="6184481B"/>
    <w:rsid w:val="61E62405"/>
    <w:rsid w:val="63FB399E"/>
    <w:rsid w:val="67E4235D"/>
    <w:rsid w:val="743453B3"/>
    <w:rsid w:val="759B3B0D"/>
    <w:rsid w:val="77275DC2"/>
    <w:rsid w:val="785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4A071"/>
  <w15:docId w15:val="{33546FEA-A0BD-4AE8-AE9A-CB512480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1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uiPriority w:val="1"/>
    <w:qFormat/>
    <w:rPr>
      <w:b/>
    </w:rPr>
  </w:style>
  <w:style w:type="character" w:styleId="af1">
    <w:name w:val="Hyperlink"/>
    <w:uiPriority w:val="99"/>
    <w:unhideWhenUsed/>
    <w:qFormat/>
    <w:rPr>
      <w:color w:val="467886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7">
    <w:name w:val="批注框文本 字符"/>
    <w:link w:val="a6"/>
    <w:uiPriority w:val="99"/>
    <w:semiHidden/>
    <w:qFormat/>
    <w:rPr>
      <w:kern w:val="2"/>
      <w:sz w:val="18"/>
      <w:szCs w:val="18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styleId="af3">
    <w:name w:val="Revision"/>
    <w:hidden/>
    <w:uiPriority w:val="99"/>
    <w:unhideWhenUsed/>
    <w:rsid w:val="00586D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Nail He</cp:lastModifiedBy>
  <cp:revision>10</cp:revision>
  <dcterms:created xsi:type="dcterms:W3CDTF">2025-04-14T05:24:00Z</dcterms:created>
  <dcterms:modified xsi:type="dcterms:W3CDTF">2025-10-17T06:42:00Z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E64CFFCD1ED14055916BB945859BEABE_13</vt:lpwstr>
  </property>
  <property fmtid="{D5CDD505-2E9C-101B-9397-08002B2CF9AE}" pid="4" name="KSOTemplateDocerSaveRecord">
    <vt:lpwstr>eyJoZGlkIjoiOTE2NmY0YTllNDc1MjY1ZDE1YjE2MTkyYmI5MjFiNzUiLCJ1c2VySWQiOiI1MDQwOTk1OTEifQ==</vt:lpwstr>
  </property>
</Properties>
</file>