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1AAA9" w14:textId="0F5A51F9" w:rsidR="00667BB0" w:rsidRDefault="000905F9">
      <w:pPr>
        <w:spacing w:beforeLines="50" w:before="156" w:afterLines="50" w:after="156" w:line="400" w:lineRule="exact"/>
        <w:rPr>
          <w:bCs/>
          <w:iCs/>
          <w:color w:val="000000"/>
          <w:sz w:val="24"/>
        </w:rPr>
      </w:pPr>
      <w:bookmarkStart w:id="0" w:name="_GoBack"/>
      <w:bookmarkEnd w:id="0"/>
      <w:r>
        <w:rPr>
          <w:rFonts w:hAnsi="宋体"/>
          <w:bCs/>
          <w:iCs/>
          <w:color w:val="000000"/>
          <w:sz w:val="24"/>
        </w:rPr>
        <w:t>证券代码：</w:t>
      </w:r>
      <w:r w:rsidR="00EB77D3">
        <w:rPr>
          <w:color w:val="000000"/>
          <w:sz w:val="24"/>
        </w:rPr>
        <w:t>600584</w:t>
      </w:r>
      <w:r>
        <w:rPr>
          <w:color w:val="000000"/>
          <w:sz w:val="24"/>
        </w:rPr>
        <w:t xml:space="preserve">                             </w:t>
      </w:r>
      <w:r>
        <w:rPr>
          <w:rFonts w:hint="eastAsia"/>
          <w:color w:val="000000"/>
          <w:sz w:val="24"/>
        </w:rPr>
        <w:t xml:space="preserve">     </w:t>
      </w:r>
      <w:r>
        <w:rPr>
          <w:rFonts w:hAnsi="宋体"/>
          <w:bCs/>
          <w:iCs/>
          <w:color w:val="000000"/>
          <w:sz w:val="24"/>
        </w:rPr>
        <w:t>证券简称：</w:t>
      </w:r>
      <w:r w:rsidR="00EB77D3">
        <w:rPr>
          <w:rFonts w:hint="eastAsia"/>
          <w:color w:val="000000"/>
          <w:sz w:val="24"/>
        </w:rPr>
        <w:t>长电科技</w:t>
      </w:r>
    </w:p>
    <w:p w14:paraId="0C06C5AC" w14:textId="07820FB7" w:rsidR="00667BB0" w:rsidRPr="00EB77D3" w:rsidRDefault="00EB77D3" w:rsidP="005E5C92">
      <w:pPr>
        <w:spacing w:beforeLines="100" w:before="312" w:afterLines="50" w:after="156" w:line="400" w:lineRule="exact"/>
        <w:jc w:val="center"/>
        <w:rPr>
          <w:rFonts w:ascii="宋体" w:hAnsi="宋体"/>
          <w:b/>
          <w:bCs/>
          <w:iCs/>
          <w:color w:val="FF0000"/>
          <w:sz w:val="32"/>
          <w:szCs w:val="32"/>
        </w:rPr>
      </w:pPr>
      <w:r w:rsidRPr="00EB77D3">
        <w:rPr>
          <w:rFonts w:ascii="宋体" w:hAnsi="宋体" w:hint="eastAsia"/>
          <w:b/>
          <w:bCs/>
          <w:iCs/>
          <w:color w:val="FF0000"/>
          <w:sz w:val="32"/>
          <w:szCs w:val="32"/>
        </w:rPr>
        <w:t>江苏长电科技股份</w:t>
      </w:r>
      <w:r w:rsidR="000905F9" w:rsidRPr="00EB77D3">
        <w:rPr>
          <w:rFonts w:ascii="宋体" w:hAnsi="宋体"/>
          <w:b/>
          <w:bCs/>
          <w:iCs/>
          <w:color w:val="FF0000"/>
          <w:sz w:val="32"/>
          <w:szCs w:val="32"/>
        </w:rPr>
        <w:t>有限公司</w:t>
      </w:r>
    </w:p>
    <w:p w14:paraId="30104ECF" w14:textId="451A2E60" w:rsidR="00667BB0" w:rsidRPr="00EB77D3" w:rsidRDefault="000905F9">
      <w:pPr>
        <w:spacing w:beforeLines="50" w:before="156" w:afterLines="50" w:after="156" w:line="400" w:lineRule="exact"/>
        <w:jc w:val="center"/>
        <w:rPr>
          <w:rFonts w:ascii="宋体" w:hAnsi="宋体"/>
          <w:b/>
          <w:bCs/>
          <w:iCs/>
          <w:color w:val="FF0000"/>
          <w:sz w:val="32"/>
          <w:szCs w:val="32"/>
        </w:rPr>
      </w:pPr>
      <w:r w:rsidRPr="00EB77D3">
        <w:rPr>
          <w:rFonts w:ascii="宋体" w:hAnsi="宋体" w:hint="eastAsia"/>
          <w:b/>
          <w:bCs/>
          <w:iCs/>
          <w:color w:val="FF0000"/>
          <w:sz w:val="32"/>
          <w:szCs w:val="32"/>
        </w:rPr>
        <w:t>投资者关系活动记录表</w:t>
      </w:r>
    </w:p>
    <w:p w14:paraId="11E41483" w14:textId="1871E3BB" w:rsidR="00667BB0" w:rsidRDefault="00667BB0">
      <w:pPr>
        <w:spacing w:line="400" w:lineRule="exact"/>
        <w:rPr>
          <w:bCs/>
          <w:iCs/>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87"/>
      </w:tblGrid>
      <w:tr w:rsidR="00667BB0" w14:paraId="1287A883" w14:textId="77777777" w:rsidTr="005E5C92">
        <w:tc>
          <w:tcPr>
            <w:tcW w:w="1668" w:type="dxa"/>
            <w:tcBorders>
              <w:top w:val="single" w:sz="4" w:space="0" w:color="auto"/>
              <w:left w:val="single" w:sz="4" w:space="0" w:color="auto"/>
              <w:bottom w:val="single" w:sz="4" w:space="0" w:color="auto"/>
              <w:right w:val="single" w:sz="4" w:space="0" w:color="auto"/>
            </w:tcBorders>
            <w:vAlign w:val="center"/>
          </w:tcPr>
          <w:p w14:paraId="3DA3123F" w14:textId="643A4204" w:rsidR="00667BB0" w:rsidRDefault="000905F9">
            <w:pPr>
              <w:spacing w:line="420" w:lineRule="exact"/>
              <w:rPr>
                <w:bCs/>
                <w:iCs/>
                <w:color w:val="000000"/>
                <w:sz w:val="24"/>
              </w:rPr>
            </w:pPr>
            <w:r>
              <w:rPr>
                <w:rFonts w:hAnsi="宋体"/>
                <w:bCs/>
                <w:iCs/>
                <w:color w:val="000000"/>
                <w:kern w:val="0"/>
                <w:sz w:val="24"/>
              </w:rPr>
              <w:t>投资者关系活动类别</w:t>
            </w:r>
          </w:p>
        </w:tc>
        <w:tc>
          <w:tcPr>
            <w:tcW w:w="7087" w:type="dxa"/>
            <w:tcBorders>
              <w:top w:val="single" w:sz="4" w:space="0" w:color="auto"/>
              <w:left w:val="single" w:sz="4" w:space="0" w:color="auto"/>
              <w:bottom w:val="single" w:sz="4" w:space="0" w:color="auto"/>
              <w:right w:val="single" w:sz="4" w:space="0" w:color="auto"/>
            </w:tcBorders>
          </w:tcPr>
          <w:p w14:paraId="1E277F80" w14:textId="54DCCA20" w:rsidR="00667BB0" w:rsidRDefault="00E83385" w:rsidP="00EB77D3">
            <w:pPr>
              <w:spacing w:line="420" w:lineRule="exact"/>
              <w:jc w:val="left"/>
              <w:rPr>
                <w:bCs/>
                <w:iCs/>
                <w:color w:val="000000"/>
                <w:sz w:val="24"/>
              </w:rPr>
            </w:pPr>
            <w:r w:rsidRPr="00E83385">
              <w:rPr>
                <w:bCs/>
                <w:iCs/>
                <w:color w:val="000000"/>
                <w:kern w:val="0"/>
                <w:sz w:val="20"/>
              </w:rPr>
              <w:sym w:font="Wingdings 2" w:char="F052"/>
            </w:r>
            <w:r w:rsidR="00EB77D3">
              <w:rPr>
                <w:bCs/>
                <w:iCs/>
                <w:color w:val="000000"/>
                <w:kern w:val="0"/>
                <w:sz w:val="24"/>
              </w:rPr>
              <w:t xml:space="preserve"> </w:t>
            </w:r>
            <w:r w:rsidR="000905F9">
              <w:rPr>
                <w:rFonts w:hAnsi="宋体"/>
                <w:kern w:val="0"/>
                <w:sz w:val="24"/>
              </w:rPr>
              <w:t>特定对象调研</w:t>
            </w:r>
            <w:r w:rsidR="000905F9">
              <w:rPr>
                <w:kern w:val="0"/>
                <w:sz w:val="24"/>
              </w:rPr>
              <w:t xml:space="preserve">       </w:t>
            </w:r>
            <w:r w:rsidR="000905F9">
              <w:rPr>
                <w:rFonts w:hint="eastAsia"/>
                <w:kern w:val="0"/>
                <w:sz w:val="24"/>
              </w:rPr>
              <w:t xml:space="preserve"> </w:t>
            </w:r>
            <w:r w:rsidR="000905F9">
              <w:rPr>
                <w:bCs/>
                <w:iCs/>
                <w:color w:val="000000"/>
                <w:kern w:val="0"/>
                <w:sz w:val="24"/>
              </w:rPr>
              <w:t>□</w:t>
            </w:r>
            <w:r w:rsidR="000905F9">
              <w:rPr>
                <w:rFonts w:hint="eastAsia"/>
                <w:bCs/>
                <w:iCs/>
                <w:color w:val="000000"/>
                <w:kern w:val="0"/>
                <w:sz w:val="24"/>
              </w:rPr>
              <w:t xml:space="preserve"> </w:t>
            </w:r>
            <w:r w:rsidR="000905F9">
              <w:rPr>
                <w:rFonts w:hAnsi="宋体"/>
                <w:kern w:val="0"/>
                <w:sz w:val="24"/>
              </w:rPr>
              <w:t>分析师会议</w:t>
            </w:r>
          </w:p>
          <w:p w14:paraId="3CFCE4E8" w14:textId="66FD1CAD" w:rsidR="00667BB0" w:rsidRDefault="000905F9" w:rsidP="00EB77D3">
            <w:pPr>
              <w:spacing w:line="420" w:lineRule="exact"/>
              <w:jc w:val="lef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EB77D3">
              <w:rPr>
                <w:bCs/>
                <w:iCs/>
                <w:color w:val="000000"/>
                <w:kern w:val="0"/>
                <w:sz w:val="24"/>
              </w:rPr>
              <w:t>□</w:t>
            </w:r>
            <w:r>
              <w:rPr>
                <w:rFonts w:hint="eastAsia"/>
                <w:bCs/>
                <w:iCs/>
                <w:color w:val="000000"/>
                <w:kern w:val="0"/>
                <w:sz w:val="24"/>
              </w:rPr>
              <w:t xml:space="preserve"> </w:t>
            </w:r>
            <w:r>
              <w:rPr>
                <w:rFonts w:hAnsi="宋体"/>
                <w:kern w:val="0"/>
                <w:sz w:val="24"/>
              </w:rPr>
              <w:t>业绩说明会</w:t>
            </w:r>
          </w:p>
          <w:p w14:paraId="122D1312" w14:textId="01D33C22" w:rsidR="00667BB0" w:rsidRDefault="000905F9" w:rsidP="00EB77D3">
            <w:pPr>
              <w:spacing w:line="420" w:lineRule="exact"/>
              <w:jc w:val="lef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sidR="00E83385" w:rsidRPr="00E83385">
              <w:rPr>
                <w:bCs/>
                <w:iCs/>
                <w:color w:val="000000"/>
                <w:kern w:val="0"/>
                <w:sz w:val="20"/>
              </w:rPr>
              <w:sym w:font="Wingdings 2" w:char="F052"/>
            </w:r>
            <w:r>
              <w:rPr>
                <w:rFonts w:hint="eastAsia"/>
                <w:bCs/>
                <w:iCs/>
                <w:color w:val="000000"/>
                <w:kern w:val="0"/>
                <w:sz w:val="24"/>
              </w:rPr>
              <w:t xml:space="preserve"> </w:t>
            </w:r>
            <w:r>
              <w:rPr>
                <w:rFonts w:hAnsi="宋体"/>
                <w:kern w:val="0"/>
                <w:sz w:val="24"/>
              </w:rPr>
              <w:t>路演活动</w:t>
            </w:r>
          </w:p>
          <w:p w14:paraId="12BA77B4" w14:textId="77777777" w:rsidR="00667BB0" w:rsidRDefault="000905F9" w:rsidP="00EB77D3">
            <w:pPr>
              <w:tabs>
                <w:tab w:val="left" w:pos="3045"/>
                <w:tab w:val="center" w:pos="3199"/>
              </w:tabs>
              <w:spacing w:line="420" w:lineRule="exact"/>
              <w:jc w:val="lef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5025B0E3" w14:textId="77777777" w:rsidR="00667BB0" w:rsidRDefault="000905F9" w:rsidP="00EB77D3">
            <w:pPr>
              <w:tabs>
                <w:tab w:val="center" w:pos="3199"/>
              </w:tabs>
              <w:spacing w:line="420" w:lineRule="exact"/>
              <w:jc w:val="lef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667BB0" w14:paraId="41B17008" w14:textId="77777777" w:rsidTr="005E5C92">
        <w:tc>
          <w:tcPr>
            <w:tcW w:w="1668" w:type="dxa"/>
            <w:tcBorders>
              <w:top w:val="single" w:sz="4" w:space="0" w:color="auto"/>
              <w:left w:val="single" w:sz="4" w:space="0" w:color="auto"/>
              <w:bottom w:val="single" w:sz="4" w:space="0" w:color="auto"/>
              <w:right w:val="single" w:sz="4" w:space="0" w:color="auto"/>
            </w:tcBorders>
            <w:vAlign w:val="center"/>
          </w:tcPr>
          <w:p w14:paraId="7B462121" w14:textId="4503A0FD" w:rsidR="00667BB0" w:rsidRDefault="000905F9" w:rsidP="00EB77D3">
            <w:pPr>
              <w:spacing w:line="420" w:lineRule="exact"/>
              <w:rPr>
                <w:bCs/>
                <w:iCs/>
                <w:color w:val="000000"/>
                <w:kern w:val="0"/>
                <w:sz w:val="24"/>
              </w:rPr>
            </w:pPr>
            <w:r>
              <w:rPr>
                <w:rFonts w:hAnsi="宋体"/>
                <w:bCs/>
                <w:iCs/>
                <w:color w:val="000000"/>
                <w:kern w:val="0"/>
                <w:sz w:val="24"/>
              </w:rPr>
              <w:t>参与单位名称</w:t>
            </w:r>
            <w:r w:rsidR="0065213B">
              <w:rPr>
                <w:rFonts w:hAnsi="宋体" w:hint="eastAsia"/>
                <w:bCs/>
                <w:iCs/>
                <w:color w:val="000000"/>
                <w:kern w:val="0"/>
                <w:sz w:val="24"/>
              </w:rPr>
              <w:t>（排名不分先后）</w:t>
            </w:r>
          </w:p>
        </w:tc>
        <w:tc>
          <w:tcPr>
            <w:tcW w:w="7087" w:type="dxa"/>
            <w:tcBorders>
              <w:top w:val="single" w:sz="4" w:space="0" w:color="auto"/>
              <w:left w:val="single" w:sz="4" w:space="0" w:color="auto"/>
              <w:bottom w:val="single" w:sz="4" w:space="0" w:color="auto"/>
              <w:right w:val="single" w:sz="4" w:space="0" w:color="auto"/>
            </w:tcBorders>
          </w:tcPr>
          <w:p w14:paraId="35DA142E" w14:textId="633C489F" w:rsidR="00BE5046" w:rsidRDefault="005332A9" w:rsidP="005E5C92">
            <w:pPr>
              <w:spacing w:line="400" w:lineRule="exact"/>
              <w:rPr>
                <w:bCs/>
                <w:iCs/>
                <w:color w:val="000000"/>
                <w:sz w:val="24"/>
                <w:lang w:val="en-GB"/>
              </w:rPr>
            </w:pPr>
            <w:r w:rsidRPr="005332A9">
              <w:rPr>
                <w:rFonts w:hint="eastAsia"/>
                <w:bCs/>
                <w:iCs/>
                <w:color w:val="000000"/>
                <w:sz w:val="24"/>
                <w:lang w:val="en-GB"/>
              </w:rPr>
              <w:t>华夏基金、鹏华基金、易方达基金、嘉实基金、交银施罗德</w:t>
            </w:r>
            <w:r>
              <w:rPr>
                <w:rFonts w:hint="eastAsia"/>
                <w:bCs/>
                <w:iCs/>
                <w:color w:val="000000"/>
                <w:sz w:val="24"/>
                <w:lang w:val="en-GB"/>
              </w:rPr>
              <w:t>、</w:t>
            </w:r>
            <w:r w:rsidRPr="005332A9">
              <w:rPr>
                <w:rFonts w:hint="eastAsia"/>
                <w:bCs/>
                <w:iCs/>
                <w:color w:val="000000"/>
                <w:sz w:val="24"/>
                <w:lang w:val="en-GB"/>
              </w:rPr>
              <w:t>中欧基金</w:t>
            </w:r>
            <w:r>
              <w:rPr>
                <w:rFonts w:hint="eastAsia"/>
                <w:bCs/>
                <w:iCs/>
                <w:color w:val="000000"/>
                <w:sz w:val="24"/>
                <w:lang w:val="en-GB"/>
              </w:rPr>
              <w:t>、</w:t>
            </w:r>
            <w:r w:rsidRPr="005332A9">
              <w:rPr>
                <w:rFonts w:hint="eastAsia"/>
                <w:bCs/>
                <w:iCs/>
                <w:color w:val="000000"/>
                <w:sz w:val="24"/>
                <w:lang w:val="en-GB"/>
              </w:rPr>
              <w:t>太平资产、富国基金、工银瑞信基金、中信保诚</w:t>
            </w:r>
            <w:r>
              <w:rPr>
                <w:rFonts w:hint="eastAsia"/>
                <w:bCs/>
                <w:iCs/>
                <w:color w:val="000000"/>
                <w:sz w:val="24"/>
                <w:lang w:val="en-GB"/>
              </w:rPr>
              <w:t>、</w:t>
            </w:r>
            <w:r w:rsidRPr="005332A9">
              <w:rPr>
                <w:rFonts w:hint="eastAsia"/>
                <w:bCs/>
                <w:iCs/>
                <w:color w:val="000000"/>
                <w:sz w:val="24"/>
                <w:lang w:val="en-GB"/>
              </w:rPr>
              <w:t>大成基金</w:t>
            </w:r>
            <w:r>
              <w:rPr>
                <w:rFonts w:hint="eastAsia"/>
                <w:bCs/>
                <w:iCs/>
                <w:color w:val="000000"/>
                <w:sz w:val="24"/>
                <w:lang w:val="en-GB"/>
              </w:rPr>
              <w:t>、</w:t>
            </w:r>
            <w:r w:rsidRPr="005332A9">
              <w:rPr>
                <w:rFonts w:hint="eastAsia"/>
                <w:bCs/>
                <w:iCs/>
                <w:color w:val="000000"/>
                <w:sz w:val="24"/>
                <w:lang w:val="en-GB"/>
              </w:rPr>
              <w:t>景顺长城、淡水泉、高毅资产</w:t>
            </w:r>
            <w:r>
              <w:rPr>
                <w:rFonts w:hint="eastAsia"/>
                <w:bCs/>
                <w:iCs/>
                <w:color w:val="000000"/>
                <w:sz w:val="24"/>
                <w:lang w:val="en-GB"/>
              </w:rPr>
              <w:t>、</w:t>
            </w:r>
            <w:r w:rsidRPr="005332A9">
              <w:rPr>
                <w:rFonts w:hint="eastAsia"/>
                <w:bCs/>
                <w:iCs/>
                <w:color w:val="000000"/>
                <w:sz w:val="24"/>
                <w:lang w:val="en-GB"/>
              </w:rPr>
              <w:t>昱奕资产、兴业自营、好奇资产、古曲基金、浦银安盛基金、中广云投资、诺德基金、君牛基金、兴银理财、磐厚投资、华泰保兴基金、兴业基金、青骊投资、财通基金、华泰资管、国华兴益保险、东吴基金、广发资管、磐泽资产</w:t>
            </w:r>
            <w:r>
              <w:rPr>
                <w:rFonts w:hint="eastAsia"/>
                <w:bCs/>
                <w:iCs/>
                <w:color w:val="000000"/>
                <w:sz w:val="24"/>
                <w:lang w:val="en-GB"/>
              </w:rPr>
              <w:t>、前海开源</w:t>
            </w:r>
            <w:r w:rsidR="00092000">
              <w:rPr>
                <w:rFonts w:hint="eastAsia"/>
                <w:bCs/>
                <w:iCs/>
                <w:color w:val="000000"/>
                <w:sz w:val="24"/>
                <w:lang w:val="en-GB"/>
              </w:rPr>
              <w:t>、</w:t>
            </w:r>
            <w:r>
              <w:rPr>
                <w:rFonts w:hint="eastAsia"/>
                <w:bCs/>
                <w:iCs/>
                <w:color w:val="000000"/>
                <w:sz w:val="24"/>
                <w:lang w:val="en-GB"/>
              </w:rPr>
              <w:t>长城基金、鑫巢资本</w:t>
            </w:r>
          </w:p>
          <w:p w14:paraId="37758DAB" w14:textId="5831C4E1" w:rsidR="00BE5046" w:rsidRDefault="005332A9" w:rsidP="005E5C92">
            <w:pPr>
              <w:spacing w:line="400" w:lineRule="exact"/>
              <w:rPr>
                <w:bCs/>
                <w:iCs/>
                <w:color w:val="000000"/>
                <w:sz w:val="24"/>
                <w:lang w:val="en-GB"/>
              </w:rPr>
            </w:pPr>
            <w:r w:rsidRPr="005332A9">
              <w:rPr>
                <w:rFonts w:hint="eastAsia"/>
                <w:bCs/>
                <w:iCs/>
                <w:color w:val="000000"/>
                <w:sz w:val="24"/>
                <w:lang w:val="en-GB"/>
              </w:rPr>
              <w:t>Abu Dhabi Investment</w:t>
            </w:r>
            <w:r w:rsidRPr="005332A9">
              <w:rPr>
                <w:rFonts w:hint="eastAsia"/>
                <w:bCs/>
                <w:iCs/>
                <w:color w:val="000000"/>
                <w:sz w:val="24"/>
                <w:lang w:val="en-GB"/>
              </w:rPr>
              <w:t>、</w:t>
            </w:r>
            <w:r w:rsidRPr="005332A9">
              <w:rPr>
                <w:rFonts w:hint="eastAsia"/>
                <w:bCs/>
                <w:iCs/>
                <w:color w:val="000000"/>
                <w:sz w:val="24"/>
                <w:lang w:val="en-GB"/>
              </w:rPr>
              <w:t>Invesco</w:t>
            </w:r>
            <w:r w:rsidRPr="005332A9">
              <w:rPr>
                <w:rFonts w:hint="eastAsia"/>
                <w:bCs/>
                <w:iCs/>
                <w:color w:val="000000"/>
                <w:sz w:val="24"/>
                <w:lang w:val="en-GB"/>
              </w:rPr>
              <w:t>、</w:t>
            </w:r>
            <w:r w:rsidRPr="005332A9">
              <w:rPr>
                <w:rFonts w:hint="eastAsia"/>
                <w:bCs/>
                <w:iCs/>
                <w:color w:val="000000"/>
                <w:sz w:val="24"/>
                <w:lang w:val="en-GB"/>
              </w:rPr>
              <w:t>Fidelity Management and Research</w:t>
            </w:r>
            <w:r w:rsidRPr="005332A9">
              <w:rPr>
                <w:rFonts w:hint="eastAsia"/>
                <w:bCs/>
                <w:iCs/>
                <w:color w:val="000000"/>
                <w:sz w:val="24"/>
                <w:lang w:val="en-GB"/>
              </w:rPr>
              <w:t>、</w:t>
            </w:r>
            <w:r w:rsidRPr="005332A9">
              <w:rPr>
                <w:rFonts w:hint="eastAsia"/>
                <w:bCs/>
                <w:iCs/>
                <w:color w:val="000000"/>
                <w:sz w:val="24"/>
                <w:lang w:val="en-GB"/>
              </w:rPr>
              <w:t>Goldman Sachs AM</w:t>
            </w:r>
            <w:r w:rsidRPr="005332A9">
              <w:rPr>
                <w:rFonts w:hint="eastAsia"/>
                <w:bCs/>
                <w:iCs/>
                <w:color w:val="000000"/>
                <w:sz w:val="24"/>
                <w:lang w:val="en-GB"/>
              </w:rPr>
              <w:t>、</w:t>
            </w:r>
            <w:r w:rsidRPr="005332A9">
              <w:rPr>
                <w:rFonts w:hint="eastAsia"/>
                <w:bCs/>
                <w:iCs/>
                <w:color w:val="000000"/>
                <w:sz w:val="24"/>
                <w:lang w:val="en-GB"/>
              </w:rPr>
              <w:t>Khazanah Nasional</w:t>
            </w:r>
            <w:r w:rsidRPr="005332A9">
              <w:rPr>
                <w:rFonts w:hint="eastAsia"/>
                <w:bCs/>
                <w:iCs/>
                <w:color w:val="000000"/>
                <w:sz w:val="24"/>
                <w:lang w:val="en-GB"/>
              </w:rPr>
              <w:t>、</w:t>
            </w:r>
            <w:r w:rsidRPr="005332A9">
              <w:rPr>
                <w:rFonts w:hint="eastAsia"/>
                <w:bCs/>
                <w:iCs/>
                <w:color w:val="000000"/>
                <w:sz w:val="24"/>
                <w:lang w:val="en-GB"/>
              </w:rPr>
              <w:t>Capital Group</w:t>
            </w:r>
            <w:r w:rsidRPr="005332A9">
              <w:rPr>
                <w:rFonts w:hint="eastAsia"/>
                <w:bCs/>
                <w:iCs/>
                <w:color w:val="000000"/>
                <w:sz w:val="24"/>
                <w:lang w:val="en-GB"/>
              </w:rPr>
              <w:t>、</w:t>
            </w:r>
            <w:r w:rsidRPr="005332A9">
              <w:rPr>
                <w:bCs/>
                <w:iCs/>
                <w:color w:val="000000"/>
                <w:sz w:val="24"/>
                <w:lang w:val="en-GB"/>
              </w:rPr>
              <w:t>Employees Provident Fund</w:t>
            </w:r>
            <w:r w:rsidRPr="005332A9">
              <w:rPr>
                <w:rFonts w:hint="eastAsia"/>
                <w:bCs/>
                <w:iCs/>
                <w:color w:val="000000"/>
                <w:sz w:val="24"/>
                <w:lang w:val="en-GB"/>
              </w:rPr>
              <w:t>、</w:t>
            </w:r>
            <w:r w:rsidRPr="005332A9">
              <w:rPr>
                <w:rFonts w:hint="eastAsia"/>
                <w:bCs/>
                <w:iCs/>
                <w:color w:val="000000"/>
                <w:sz w:val="24"/>
                <w:lang w:val="en-GB"/>
              </w:rPr>
              <w:t>BlackRock</w:t>
            </w:r>
            <w:r w:rsidRPr="005332A9">
              <w:rPr>
                <w:rFonts w:hint="eastAsia"/>
                <w:bCs/>
                <w:iCs/>
                <w:color w:val="000000"/>
                <w:sz w:val="24"/>
                <w:lang w:val="en-GB"/>
              </w:rPr>
              <w:t>、</w:t>
            </w:r>
            <w:r w:rsidRPr="005332A9">
              <w:rPr>
                <w:rFonts w:hint="eastAsia"/>
                <w:bCs/>
                <w:iCs/>
                <w:color w:val="000000"/>
                <w:sz w:val="24"/>
                <w:lang w:val="en-GB"/>
              </w:rPr>
              <w:t>T. Rowe Price</w:t>
            </w:r>
            <w:r w:rsidRPr="005332A9">
              <w:rPr>
                <w:rFonts w:hint="eastAsia"/>
                <w:bCs/>
                <w:iCs/>
                <w:color w:val="000000"/>
                <w:sz w:val="24"/>
                <w:lang w:val="en-GB"/>
              </w:rPr>
              <w:t>、</w:t>
            </w:r>
            <w:r w:rsidRPr="005332A9">
              <w:rPr>
                <w:rFonts w:hint="eastAsia"/>
                <w:bCs/>
                <w:iCs/>
                <w:color w:val="000000"/>
                <w:sz w:val="24"/>
                <w:lang w:val="en-GB"/>
              </w:rPr>
              <w:t>Pacific Investment Management</w:t>
            </w:r>
            <w:r w:rsidRPr="005332A9">
              <w:rPr>
                <w:rFonts w:hint="eastAsia"/>
                <w:bCs/>
                <w:iCs/>
                <w:color w:val="000000"/>
                <w:sz w:val="24"/>
                <w:lang w:val="en-GB"/>
              </w:rPr>
              <w:t>、</w:t>
            </w:r>
            <w:r w:rsidRPr="005332A9">
              <w:rPr>
                <w:rFonts w:hint="eastAsia"/>
                <w:bCs/>
                <w:iCs/>
                <w:color w:val="000000"/>
                <w:sz w:val="24"/>
                <w:lang w:val="en-GB"/>
              </w:rPr>
              <w:t>Cathay Financial</w:t>
            </w:r>
            <w:r w:rsidRPr="005332A9">
              <w:rPr>
                <w:rFonts w:hint="eastAsia"/>
                <w:bCs/>
                <w:iCs/>
                <w:color w:val="000000"/>
                <w:sz w:val="24"/>
                <w:lang w:val="en-GB"/>
              </w:rPr>
              <w:t>、</w:t>
            </w:r>
            <w:r w:rsidRPr="005332A9">
              <w:rPr>
                <w:rFonts w:hint="eastAsia"/>
                <w:bCs/>
                <w:iCs/>
                <w:color w:val="000000"/>
                <w:sz w:val="24"/>
                <w:lang w:val="en-GB"/>
              </w:rPr>
              <w:t>Janus Henderson Investors</w:t>
            </w:r>
            <w:r w:rsidRPr="005332A9">
              <w:rPr>
                <w:rFonts w:hint="eastAsia"/>
                <w:bCs/>
                <w:iCs/>
                <w:color w:val="000000"/>
                <w:sz w:val="24"/>
                <w:lang w:val="en-GB"/>
              </w:rPr>
              <w:t>、</w:t>
            </w:r>
            <w:r w:rsidRPr="005332A9">
              <w:rPr>
                <w:rFonts w:hint="eastAsia"/>
                <w:bCs/>
                <w:iCs/>
                <w:color w:val="000000"/>
                <w:sz w:val="24"/>
                <w:lang w:val="en-GB"/>
              </w:rPr>
              <w:t>Kadensa Capital</w:t>
            </w:r>
            <w:r w:rsidRPr="005332A9">
              <w:rPr>
                <w:rFonts w:hint="eastAsia"/>
                <w:bCs/>
                <w:iCs/>
                <w:color w:val="000000"/>
                <w:sz w:val="24"/>
                <w:lang w:val="en-GB"/>
              </w:rPr>
              <w:t>、</w:t>
            </w:r>
            <w:r w:rsidRPr="005332A9">
              <w:rPr>
                <w:rFonts w:hint="eastAsia"/>
                <w:bCs/>
                <w:iCs/>
                <w:color w:val="000000"/>
                <w:sz w:val="24"/>
                <w:lang w:val="en-GB"/>
              </w:rPr>
              <w:t>Lazard Asset Management</w:t>
            </w:r>
            <w:r w:rsidRPr="005332A9">
              <w:rPr>
                <w:rFonts w:hint="eastAsia"/>
                <w:bCs/>
                <w:iCs/>
                <w:color w:val="000000"/>
                <w:sz w:val="24"/>
                <w:lang w:val="en-GB"/>
              </w:rPr>
              <w:t>、</w:t>
            </w:r>
            <w:r w:rsidRPr="005332A9">
              <w:rPr>
                <w:rFonts w:hint="eastAsia"/>
                <w:bCs/>
                <w:iCs/>
                <w:color w:val="000000"/>
                <w:sz w:val="24"/>
                <w:lang w:val="en-GB"/>
              </w:rPr>
              <w:t>Ohio State Teachers Retirement System</w:t>
            </w:r>
            <w:r w:rsidRPr="005332A9">
              <w:rPr>
                <w:rFonts w:hint="eastAsia"/>
                <w:bCs/>
                <w:iCs/>
                <w:color w:val="000000"/>
                <w:sz w:val="24"/>
                <w:lang w:val="en-GB"/>
              </w:rPr>
              <w:t>、</w:t>
            </w:r>
            <w:r w:rsidRPr="005332A9">
              <w:rPr>
                <w:rFonts w:hint="eastAsia"/>
                <w:bCs/>
                <w:iCs/>
                <w:color w:val="000000"/>
                <w:sz w:val="24"/>
                <w:lang w:val="en-GB"/>
              </w:rPr>
              <w:t>Open Door Investment Management</w:t>
            </w:r>
            <w:r w:rsidRPr="005332A9">
              <w:rPr>
                <w:rFonts w:hint="eastAsia"/>
                <w:bCs/>
                <w:iCs/>
                <w:color w:val="000000"/>
                <w:sz w:val="24"/>
                <w:lang w:val="en-GB"/>
              </w:rPr>
              <w:t>、</w:t>
            </w:r>
            <w:r w:rsidRPr="005332A9">
              <w:rPr>
                <w:rFonts w:hint="eastAsia"/>
                <w:bCs/>
                <w:iCs/>
                <w:color w:val="000000"/>
                <w:sz w:val="24"/>
                <w:lang w:val="en-GB"/>
              </w:rPr>
              <w:t>Polunin Capital</w:t>
            </w:r>
            <w:r w:rsidRPr="005332A9">
              <w:rPr>
                <w:rFonts w:hint="eastAsia"/>
                <w:bCs/>
                <w:iCs/>
                <w:color w:val="000000"/>
                <w:sz w:val="24"/>
                <w:lang w:val="en-GB"/>
              </w:rPr>
              <w:t>、</w:t>
            </w:r>
            <w:r w:rsidRPr="005332A9">
              <w:rPr>
                <w:rFonts w:hint="eastAsia"/>
                <w:bCs/>
                <w:iCs/>
                <w:color w:val="000000"/>
                <w:sz w:val="24"/>
                <w:lang w:val="en-GB"/>
              </w:rPr>
              <w:t>Stillpoint Investments</w:t>
            </w:r>
            <w:r w:rsidRPr="005332A9">
              <w:rPr>
                <w:rFonts w:hint="eastAsia"/>
                <w:bCs/>
                <w:iCs/>
                <w:color w:val="000000"/>
                <w:sz w:val="24"/>
                <w:lang w:val="en-GB"/>
              </w:rPr>
              <w:t>、</w:t>
            </w:r>
            <w:r w:rsidRPr="005332A9">
              <w:rPr>
                <w:rFonts w:hint="eastAsia"/>
                <w:bCs/>
                <w:iCs/>
                <w:color w:val="000000"/>
                <w:sz w:val="24"/>
                <w:lang w:val="en-GB"/>
              </w:rPr>
              <w:t>UG Fund</w:t>
            </w:r>
            <w:r w:rsidRPr="005332A9">
              <w:rPr>
                <w:rFonts w:hint="eastAsia"/>
                <w:bCs/>
                <w:iCs/>
                <w:color w:val="000000"/>
                <w:sz w:val="24"/>
                <w:lang w:val="en-GB"/>
              </w:rPr>
              <w:t>、</w:t>
            </w:r>
            <w:r w:rsidRPr="005332A9">
              <w:rPr>
                <w:rFonts w:hint="eastAsia"/>
                <w:bCs/>
                <w:iCs/>
                <w:color w:val="000000"/>
                <w:sz w:val="24"/>
                <w:lang w:val="en-GB"/>
              </w:rPr>
              <w:t>White Oak</w:t>
            </w:r>
            <w:r w:rsidRPr="005332A9">
              <w:rPr>
                <w:rFonts w:hint="eastAsia"/>
                <w:bCs/>
                <w:iCs/>
                <w:color w:val="000000"/>
                <w:sz w:val="24"/>
                <w:lang w:val="en-GB"/>
              </w:rPr>
              <w:t>、</w:t>
            </w:r>
            <w:r w:rsidRPr="005332A9">
              <w:rPr>
                <w:rFonts w:hint="eastAsia"/>
                <w:bCs/>
                <w:iCs/>
                <w:color w:val="000000"/>
                <w:sz w:val="24"/>
                <w:lang w:val="en-GB"/>
              </w:rPr>
              <w:t>Baring Group</w:t>
            </w:r>
            <w:r w:rsidRPr="005332A9">
              <w:rPr>
                <w:rFonts w:hint="eastAsia"/>
                <w:bCs/>
                <w:iCs/>
                <w:color w:val="000000"/>
                <w:sz w:val="24"/>
                <w:lang w:val="en-GB"/>
              </w:rPr>
              <w:t>、</w:t>
            </w:r>
            <w:r w:rsidRPr="005332A9">
              <w:rPr>
                <w:rFonts w:hint="eastAsia"/>
                <w:bCs/>
                <w:iCs/>
                <w:color w:val="000000"/>
                <w:sz w:val="24"/>
                <w:lang w:val="en-GB"/>
              </w:rPr>
              <w:t>Fenghe Fund Mgmt</w:t>
            </w:r>
            <w:r w:rsidRPr="005332A9">
              <w:rPr>
                <w:rFonts w:hint="eastAsia"/>
                <w:bCs/>
                <w:iCs/>
                <w:color w:val="000000"/>
                <w:sz w:val="24"/>
                <w:lang w:val="en-GB"/>
              </w:rPr>
              <w:t>、</w:t>
            </w:r>
            <w:r w:rsidRPr="005332A9">
              <w:rPr>
                <w:rFonts w:hint="eastAsia"/>
                <w:bCs/>
                <w:iCs/>
                <w:color w:val="000000"/>
                <w:sz w:val="24"/>
                <w:lang w:val="en-GB"/>
              </w:rPr>
              <w:t>Lion Global Investors</w:t>
            </w:r>
            <w:r w:rsidRPr="005332A9">
              <w:rPr>
                <w:rFonts w:hint="eastAsia"/>
                <w:bCs/>
                <w:iCs/>
                <w:color w:val="000000"/>
                <w:sz w:val="24"/>
                <w:lang w:val="en-GB"/>
              </w:rPr>
              <w:t>、</w:t>
            </w:r>
            <w:r w:rsidRPr="005332A9">
              <w:rPr>
                <w:rFonts w:hint="eastAsia"/>
                <w:bCs/>
                <w:iCs/>
                <w:color w:val="000000"/>
                <w:sz w:val="24"/>
                <w:lang w:val="en-GB"/>
              </w:rPr>
              <w:t>Midas Group</w:t>
            </w:r>
            <w:r w:rsidRPr="005332A9">
              <w:rPr>
                <w:rFonts w:hint="eastAsia"/>
                <w:bCs/>
                <w:iCs/>
                <w:color w:val="000000"/>
                <w:sz w:val="24"/>
                <w:lang w:val="en-GB"/>
              </w:rPr>
              <w:t>、</w:t>
            </w:r>
            <w:r w:rsidRPr="005332A9">
              <w:rPr>
                <w:rFonts w:hint="eastAsia"/>
                <w:bCs/>
                <w:iCs/>
                <w:color w:val="000000"/>
                <w:sz w:val="24"/>
                <w:lang w:val="en-GB"/>
              </w:rPr>
              <w:t>Mirae Asset Group</w:t>
            </w:r>
            <w:r w:rsidRPr="005332A9">
              <w:rPr>
                <w:rFonts w:hint="eastAsia"/>
                <w:bCs/>
                <w:iCs/>
                <w:color w:val="000000"/>
                <w:sz w:val="24"/>
                <w:lang w:val="en-GB"/>
              </w:rPr>
              <w:t>、</w:t>
            </w:r>
            <w:r w:rsidRPr="005332A9">
              <w:rPr>
                <w:rFonts w:hint="eastAsia"/>
                <w:bCs/>
                <w:iCs/>
                <w:color w:val="000000"/>
                <w:sz w:val="24"/>
                <w:lang w:val="en-GB"/>
              </w:rPr>
              <w:t>Oaktree CM</w:t>
            </w:r>
            <w:r w:rsidRPr="005332A9">
              <w:rPr>
                <w:rFonts w:hint="eastAsia"/>
                <w:bCs/>
                <w:iCs/>
                <w:color w:val="000000"/>
                <w:sz w:val="24"/>
                <w:lang w:val="en-GB"/>
              </w:rPr>
              <w:t>、</w:t>
            </w:r>
            <w:r w:rsidRPr="005332A9">
              <w:rPr>
                <w:rFonts w:hint="eastAsia"/>
                <w:bCs/>
                <w:iCs/>
                <w:color w:val="000000"/>
                <w:sz w:val="24"/>
                <w:lang w:val="en-GB"/>
              </w:rPr>
              <w:t>BNP Paribas AM</w:t>
            </w:r>
            <w:r w:rsidRPr="005332A9">
              <w:rPr>
                <w:rFonts w:hint="eastAsia"/>
                <w:bCs/>
                <w:iCs/>
                <w:color w:val="000000"/>
                <w:sz w:val="24"/>
                <w:lang w:val="en-GB"/>
              </w:rPr>
              <w:t>、</w:t>
            </w:r>
            <w:r w:rsidRPr="005332A9">
              <w:rPr>
                <w:rFonts w:hint="eastAsia"/>
                <w:bCs/>
                <w:iCs/>
                <w:color w:val="000000"/>
                <w:sz w:val="24"/>
                <w:lang w:val="en-GB"/>
              </w:rPr>
              <w:t>Chow Tai Fook Life Insurance</w:t>
            </w:r>
            <w:r w:rsidRPr="005332A9">
              <w:rPr>
                <w:rFonts w:hint="eastAsia"/>
                <w:bCs/>
                <w:iCs/>
                <w:color w:val="000000"/>
                <w:sz w:val="24"/>
                <w:lang w:val="en-GB"/>
              </w:rPr>
              <w:t>、</w:t>
            </w:r>
            <w:r w:rsidRPr="005332A9">
              <w:rPr>
                <w:rFonts w:hint="eastAsia"/>
                <w:bCs/>
                <w:iCs/>
                <w:color w:val="000000"/>
                <w:sz w:val="24"/>
                <w:lang w:val="en-GB"/>
              </w:rPr>
              <w:t>Manulife Inv Mgmt</w:t>
            </w:r>
            <w:r w:rsidRPr="005332A9">
              <w:rPr>
                <w:rFonts w:hint="eastAsia"/>
                <w:bCs/>
                <w:iCs/>
                <w:color w:val="000000"/>
                <w:sz w:val="24"/>
                <w:lang w:val="en-GB"/>
              </w:rPr>
              <w:t>、</w:t>
            </w:r>
            <w:r w:rsidRPr="005332A9">
              <w:rPr>
                <w:rFonts w:hint="eastAsia"/>
                <w:bCs/>
                <w:iCs/>
                <w:color w:val="000000"/>
                <w:sz w:val="24"/>
                <w:lang w:val="en-GB"/>
              </w:rPr>
              <w:t>WT AM</w:t>
            </w:r>
            <w:r w:rsidRPr="005332A9">
              <w:rPr>
                <w:rFonts w:hint="eastAsia"/>
                <w:bCs/>
                <w:iCs/>
                <w:color w:val="000000"/>
                <w:sz w:val="24"/>
                <w:lang w:val="en-GB"/>
              </w:rPr>
              <w:t>、</w:t>
            </w:r>
            <w:r w:rsidRPr="005332A9">
              <w:rPr>
                <w:rFonts w:hint="eastAsia"/>
                <w:bCs/>
                <w:iCs/>
                <w:color w:val="000000"/>
                <w:sz w:val="24"/>
                <w:lang w:val="en-GB"/>
              </w:rPr>
              <w:t>Causeway CM</w:t>
            </w:r>
            <w:r w:rsidRPr="005332A9">
              <w:rPr>
                <w:rFonts w:hint="eastAsia"/>
                <w:bCs/>
                <w:iCs/>
                <w:color w:val="000000"/>
                <w:sz w:val="24"/>
                <w:lang w:val="en-GB"/>
              </w:rPr>
              <w:t>、</w:t>
            </w:r>
            <w:r w:rsidRPr="005332A9">
              <w:rPr>
                <w:rFonts w:hint="eastAsia"/>
                <w:bCs/>
                <w:iCs/>
                <w:color w:val="000000"/>
                <w:sz w:val="24"/>
                <w:lang w:val="en-GB"/>
              </w:rPr>
              <w:t>Putnam Inv</w:t>
            </w:r>
            <w:r w:rsidRPr="005332A9">
              <w:rPr>
                <w:rFonts w:hint="eastAsia"/>
                <w:bCs/>
                <w:iCs/>
                <w:color w:val="000000"/>
                <w:sz w:val="24"/>
                <w:lang w:val="en-GB"/>
              </w:rPr>
              <w:t>、</w:t>
            </w:r>
            <w:r w:rsidRPr="005332A9">
              <w:rPr>
                <w:rFonts w:hint="eastAsia"/>
                <w:bCs/>
                <w:iCs/>
                <w:color w:val="000000"/>
                <w:sz w:val="24"/>
                <w:lang w:val="en-GB"/>
              </w:rPr>
              <w:t>TD AM</w:t>
            </w:r>
            <w:r w:rsidRPr="005332A9">
              <w:rPr>
                <w:rFonts w:hint="eastAsia"/>
                <w:bCs/>
                <w:iCs/>
                <w:color w:val="000000"/>
                <w:sz w:val="24"/>
                <w:lang w:val="en-GB"/>
              </w:rPr>
              <w:t>、</w:t>
            </w:r>
            <w:r w:rsidRPr="005332A9">
              <w:rPr>
                <w:rFonts w:hint="eastAsia"/>
                <w:bCs/>
                <w:iCs/>
                <w:color w:val="000000"/>
                <w:sz w:val="24"/>
                <w:lang w:val="en-GB"/>
              </w:rPr>
              <w:t>Hermes Inv Mgmt</w:t>
            </w:r>
            <w:r w:rsidRPr="005332A9">
              <w:rPr>
                <w:rFonts w:hint="eastAsia"/>
                <w:bCs/>
                <w:iCs/>
                <w:color w:val="000000"/>
                <w:sz w:val="24"/>
                <w:lang w:val="en-GB"/>
              </w:rPr>
              <w:t>、</w:t>
            </w:r>
            <w:r w:rsidRPr="005332A9">
              <w:rPr>
                <w:rFonts w:hint="eastAsia"/>
                <w:bCs/>
                <w:iCs/>
                <w:color w:val="000000"/>
                <w:sz w:val="24"/>
                <w:lang w:val="en-GB"/>
              </w:rPr>
              <w:t>Ninety One</w:t>
            </w:r>
            <w:r w:rsidRPr="005332A9">
              <w:rPr>
                <w:rFonts w:hint="eastAsia"/>
                <w:bCs/>
                <w:iCs/>
                <w:color w:val="000000"/>
                <w:sz w:val="24"/>
                <w:lang w:val="en-GB"/>
              </w:rPr>
              <w:t>、</w:t>
            </w:r>
            <w:r w:rsidRPr="005332A9">
              <w:rPr>
                <w:rFonts w:hint="eastAsia"/>
                <w:bCs/>
                <w:iCs/>
                <w:color w:val="000000"/>
                <w:sz w:val="24"/>
                <w:lang w:val="en-GB"/>
              </w:rPr>
              <w:t>Point72 Group</w:t>
            </w:r>
            <w:r w:rsidRPr="005332A9">
              <w:rPr>
                <w:rFonts w:hint="eastAsia"/>
                <w:bCs/>
                <w:iCs/>
                <w:color w:val="000000"/>
                <w:sz w:val="24"/>
                <w:lang w:val="en-GB"/>
              </w:rPr>
              <w:t>、</w:t>
            </w:r>
            <w:r w:rsidRPr="005332A9">
              <w:rPr>
                <w:rFonts w:hint="eastAsia"/>
                <w:bCs/>
                <w:iCs/>
                <w:color w:val="000000"/>
                <w:sz w:val="24"/>
                <w:lang w:val="en-GB"/>
              </w:rPr>
              <w:t>Valliance Asset</w:t>
            </w:r>
            <w:r w:rsidRPr="005332A9">
              <w:rPr>
                <w:rFonts w:hint="eastAsia"/>
                <w:bCs/>
                <w:iCs/>
                <w:color w:val="000000"/>
                <w:sz w:val="24"/>
                <w:lang w:val="en-GB"/>
              </w:rPr>
              <w:t>、</w:t>
            </w:r>
            <w:r w:rsidRPr="005332A9">
              <w:rPr>
                <w:rFonts w:hint="eastAsia"/>
                <w:bCs/>
                <w:iCs/>
                <w:color w:val="000000"/>
                <w:sz w:val="24"/>
                <w:lang w:val="en-GB"/>
              </w:rPr>
              <w:t>Arrowpoint Investment</w:t>
            </w:r>
            <w:r w:rsidRPr="005332A9">
              <w:rPr>
                <w:rFonts w:hint="eastAsia"/>
                <w:bCs/>
                <w:iCs/>
                <w:color w:val="000000"/>
                <w:sz w:val="24"/>
                <w:lang w:val="en-GB"/>
              </w:rPr>
              <w:t>、</w:t>
            </w:r>
            <w:r w:rsidRPr="005332A9">
              <w:rPr>
                <w:rFonts w:hint="eastAsia"/>
                <w:bCs/>
                <w:iCs/>
                <w:color w:val="000000"/>
                <w:sz w:val="24"/>
                <w:lang w:val="en-GB"/>
              </w:rPr>
              <w:t>AM Squared</w:t>
            </w:r>
            <w:r w:rsidRPr="005332A9">
              <w:rPr>
                <w:rFonts w:hint="eastAsia"/>
                <w:bCs/>
                <w:iCs/>
                <w:color w:val="000000"/>
                <w:sz w:val="24"/>
                <w:lang w:val="en-GB"/>
              </w:rPr>
              <w:t>、</w:t>
            </w:r>
            <w:r w:rsidRPr="005332A9">
              <w:rPr>
                <w:rFonts w:hint="eastAsia"/>
                <w:bCs/>
                <w:iCs/>
                <w:color w:val="000000"/>
                <w:sz w:val="24"/>
                <w:lang w:val="en-GB"/>
              </w:rPr>
              <w:t>Torito capital</w:t>
            </w:r>
            <w:r>
              <w:rPr>
                <w:rFonts w:hint="eastAsia"/>
                <w:bCs/>
                <w:iCs/>
                <w:color w:val="000000"/>
                <w:sz w:val="24"/>
                <w:lang w:val="en-GB"/>
              </w:rPr>
              <w:t>、</w:t>
            </w:r>
            <w:r w:rsidR="009C0738">
              <w:rPr>
                <w:bCs/>
                <w:iCs/>
                <w:color w:val="000000"/>
                <w:sz w:val="24"/>
                <w:lang w:val="en-GB"/>
              </w:rPr>
              <w:t xml:space="preserve">Jeneration </w:t>
            </w:r>
            <w:r>
              <w:rPr>
                <w:bCs/>
                <w:iCs/>
                <w:color w:val="000000"/>
                <w:sz w:val="24"/>
                <w:lang w:val="en-GB"/>
              </w:rPr>
              <w:t>Capital</w:t>
            </w:r>
            <w:r>
              <w:rPr>
                <w:rFonts w:hint="eastAsia"/>
                <w:bCs/>
                <w:iCs/>
                <w:color w:val="000000"/>
                <w:sz w:val="24"/>
                <w:lang w:val="en-GB"/>
              </w:rPr>
              <w:t>、</w:t>
            </w:r>
            <w:r>
              <w:rPr>
                <w:bCs/>
                <w:iCs/>
                <w:color w:val="000000"/>
                <w:sz w:val="24"/>
                <w:lang w:val="en-GB"/>
              </w:rPr>
              <w:t>M</w:t>
            </w:r>
            <w:r>
              <w:rPr>
                <w:rFonts w:hint="eastAsia"/>
                <w:bCs/>
                <w:iCs/>
                <w:color w:val="000000"/>
                <w:sz w:val="24"/>
                <w:lang w:val="en-GB"/>
              </w:rPr>
              <w:t>y</w:t>
            </w:r>
            <w:r>
              <w:rPr>
                <w:bCs/>
                <w:iCs/>
                <w:color w:val="000000"/>
                <w:sz w:val="24"/>
                <w:lang w:val="en-GB"/>
              </w:rPr>
              <w:t xml:space="preserve"> </w:t>
            </w:r>
            <w:r w:rsidRPr="005332A9">
              <w:rPr>
                <w:bCs/>
                <w:iCs/>
                <w:color w:val="000000"/>
                <w:sz w:val="24"/>
                <w:lang w:val="en-GB"/>
              </w:rPr>
              <w:t>Alpha Management</w:t>
            </w:r>
          </w:p>
          <w:p w14:paraId="1418E2C2" w14:textId="085ABF83" w:rsidR="0065213B" w:rsidRDefault="0065213B" w:rsidP="005E5C92">
            <w:pPr>
              <w:spacing w:line="400" w:lineRule="exact"/>
              <w:rPr>
                <w:bCs/>
                <w:iCs/>
                <w:color w:val="000000"/>
                <w:sz w:val="24"/>
                <w:lang w:val="en-GB"/>
              </w:rPr>
            </w:pPr>
            <w:r>
              <w:rPr>
                <w:rFonts w:hint="eastAsia"/>
                <w:bCs/>
                <w:iCs/>
                <w:color w:val="000000"/>
                <w:sz w:val="24"/>
                <w:lang w:val="en-GB"/>
              </w:rPr>
              <w:t>中泰证券、华创证券、国盛证券、中信里昂证券、华泰证券、广发证券、</w:t>
            </w:r>
            <w:r w:rsidRPr="0065213B">
              <w:rPr>
                <w:rFonts w:hint="eastAsia"/>
                <w:bCs/>
                <w:iCs/>
                <w:color w:val="000000"/>
                <w:sz w:val="24"/>
                <w:lang w:val="en-GB"/>
              </w:rPr>
              <w:t>甬兴证券</w:t>
            </w:r>
            <w:r>
              <w:rPr>
                <w:rFonts w:hint="eastAsia"/>
                <w:bCs/>
                <w:iCs/>
                <w:color w:val="000000"/>
                <w:sz w:val="24"/>
                <w:lang w:val="en-GB"/>
              </w:rPr>
              <w:t>、华福证券、摩根斯坦利证券、东北证券、申万宏源、瑞银证券、汇丰前海证券、美银证券、兴业证券</w:t>
            </w:r>
            <w:r w:rsidR="005332A9">
              <w:rPr>
                <w:rFonts w:hint="eastAsia"/>
                <w:bCs/>
                <w:iCs/>
                <w:color w:val="000000"/>
                <w:sz w:val="24"/>
                <w:lang w:val="en-GB"/>
              </w:rPr>
              <w:t>、</w:t>
            </w:r>
            <w:r w:rsidR="005332A9" w:rsidRPr="005332A9">
              <w:rPr>
                <w:rFonts w:hint="eastAsia"/>
                <w:bCs/>
                <w:iCs/>
                <w:color w:val="000000"/>
                <w:sz w:val="24"/>
                <w:lang w:val="en-GB"/>
              </w:rPr>
              <w:t>方正证券</w:t>
            </w:r>
            <w:r w:rsidR="00BC763C">
              <w:rPr>
                <w:rFonts w:hint="eastAsia"/>
                <w:bCs/>
                <w:iCs/>
                <w:color w:val="000000"/>
                <w:sz w:val="24"/>
                <w:lang w:val="en-GB"/>
              </w:rPr>
              <w:t>、</w:t>
            </w:r>
            <w:r w:rsidR="005332A9" w:rsidRPr="005332A9">
              <w:rPr>
                <w:rFonts w:hint="eastAsia"/>
                <w:bCs/>
                <w:iCs/>
                <w:color w:val="000000"/>
                <w:sz w:val="24"/>
                <w:lang w:val="en-GB"/>
              </w:rPr>
              <w:lastRenderedPageBreak/>
              <w:t>平安证券</w:t>
            </w:r>
            <w:r w:rsidR="00092000">
              <w:rPr>
                <w:rFonts w:hint="eastAsia"/>
                <w:bCs/>
                <w:iCs/>
                <w:color w:val="000000"/>
                <w:sz w:val="24"/>
                <w:lang w:val="en-GB"/>
              </w:rPr>
              <w:t>等</w:t>
            </w:r>
          </w:p>
        </w:tc>
      </w:tr>
      <w:tr w:rsidR="00667BB0" w14:paraId="7635A65E" w14:textId="77777777" w:rsidTr="005E5C92">
        <w:tc>
          <w:tcPr>
            <w:tcW w:w="1668" w:type="dxa"/>
            <w:tcBorders>
              <w:top w:val="single" w:sz="4" w:space="0" w:color="auto"/>
              <w:left w:val="single" w:sz="4" w:space="0" w:color="auto"/>
              <w:bottom w:val="single" w:sz="4" w:space="0" w:color="auto"/>
              <w:right w:val="single" w:sz="4" w:space="0" w:color="auto"/>
            </w:tcBorders>
            <w:vAlign w:val="center"/>
          </w:tcPr>
          <w:p w14:paraId="1A042822" w14:textId="77777777" w:rsidR="00667BB0" w:rsidRDefault="000905F9">
            <w:pPr>
              <w:spacing w:line="420" w:lineRule="exact"/>
              <w:rPr>
                <w:bCs/>
                <w:iCs/>
                <w:color w:val="000000"/>
                <w:kern w:val="0"/>
                <w:sz w:val="24"/>
              </w:rPr>
            </w:pPr>
            <w:r>
              <w:rPr>
                <w:rFonts w:hAnsi="宋体"/>
                <w:bCs/>
                <w:iCs/>
                <w:color w:val="000000"/>
                <w:kern w:val="0"/>
                <w:sz w:val="24"/>
              </w:rPr>
              <w:lastRenderedPageBreak/>
              <w:t>时间</w:t>
            </w:r>
          </w:p>
        </w:tc>
        <w:tc>
          <w:tcPr>
            <w:tcW w:w="7087" w:type="dxa"/>
            <w:tcBorders>
              <w:top w:val="single" w:sz="4" w:space="0" w:color="auto"/>
              <w:left w:val="single" w:sz="4" w:space="0" w:color="auto"/>
              <w:bottom w:val="single" w:sz="4" w:space="0" w:color="auto"/>
              <w:right w:val="single" w:sz="4" w:space="0" w:color="auto"/>
            </w:tcBorders>
          </w:tcPr>
          <w:p w14:paraId="5EF3389C" w14:textId="1C71BAEA" w:rsidR="00667BB0" w:rsidRDefault="0065213B">
            <w:pPr>
              <w:spacing w:line="420" w:lineRule="exact"/>
              <w:rPr>
                <w:bCs/>
                <w:iCs/>
                <w:color w:val="000000"/>
                <w:sz w:val="24"/>
              </w:rPr>
            </w:pPr>
            <w:r>
              <w:rPr>
                <w:rFonts w:hint="eastAsia"/>
                <w:bCs/>
                <w:iCs/>
                <w:color w:val="000000"/>
                <w:sz w:val="24"/>
              </w:rPr>
              <w:t>2</w:t>
            </w:r>
            <w:r>
              <w:rPr>
                <w:bCs/>
                <w:iCs/>
                <w:color w:val="000000"/>
                <w:sz w:val="24"/>
              </w:rPr>
              <w:t>025</w:t>
            </w:r>
            <w:r>
              <w:rPr>
                <w:rFonts w:hint="eastAsia"/>
                <w:bCs/>
                <w:iCs/>
                <w:color w:val="000000"/>
                <w:sz w:val="24"/>
              </w:rPr>
              <w:t>年</w:t>
            </w:r>
            <w:r>
              <w:rPr>
                <w:rFonts w:hint="eastAsia"/>
                <w:bCs/>
                <w:iCs/>
                <w:color w:val="000000"/>
                <w:sz w:val="24"/>
              </w:rPr>
              <w:t>7</w:t>
            </w:r>
            <w:r>
              <w:rPr>
                <w:rFonts w:hint="eastAsia"/>
                <w:bCs/>
                <w:iCs/>
                <w:color w:val="000000"/>
                <w:sz w:val="24"/>
              </w:rPr>
              <w:t>月</w:t>
            </w:r>
            <w:r>
              <w:rPr>
                <w:bCs/>
                <w:iCs/>
                <w:color w:val="000000"/>
                <w:sz w:val="24"/>
              </w:rPr>
              <w:t>3</w:t>
            </w:r>
            <w:r>
              <w:rPr>
                <w:rFonts w:hint="eastAsia"/>
                <w:bCs/>
                <w:iCs/>
                <w:color w:val="000000"/>
                <w:sz w:val="24"/>
              </w:rPr>
              <w:t>日</w:t>
            </w:r>
            <w:r>
              <w:rPr>
                <w:rFonts w:hint="eastAsia"/>
                <w:bCs/>
                <w:iCs/>
                <w:color w:val="000000"/>
                <w:sz w:val="24"/>
              </w:rPr>
              <w:t>-</w:t>
            </w:r>
            <w:r w:rsidR="005332A9">
              <w:rPr>
                <w:bCs/>
                <w:iCs/>
                <w:color w:val="000000"/>
                <w:sz w:val="24"/>
              </w:rPr>
              <w:t xml:space="preserve"> </w:t>
            </w:r>
            <w:r>
              <w:rPr>
                <w:bCs/>
                <w:iCs/>
                <w:color w:val="000000"/>
                <w:sz w:val="24"/>
              </w:rPr>
              <w:t>9</w:t>
            </w:r>
            <w:r>
              <w:rPr>
                <w:rFonts w:hint="eastAsia"/>
                <w:bCs/>
                <w:iCs/>
                <w:color w:val="000000"/>
                <w:sz w:val="24"/>
              </w:rPr>
              <w:t>月</w:t>
            </w:r>
            <w:r>
              <w:rPr>
                <w:rFonts w:hint="eastAsia"/>
                <w:bCs/>
                <w:iCs/>
                <w:color w:val="000000"/>
                <w:sz w:val="24"/>
              </w:rPr>
              <w:t>2</w:t>
            </w:r>
            <w:r w:rsidR="005332A9">
              <w:rPr>
                <w:bCs/>
                <w:iCs/>
                <w:color w:val="000000"/>
                <w:sz w:val="24"/>
              </w:rPr>
              <w:t>8</w:t>
            </w:r>
            <w:r>
              <w:rPr>
                <w:rFonts w:hint="eastAsia"/>
                <w:bCs/>
                <w:iCs/>
                <w:color w:val="000000"/>
                <w:sz w:val="24"/>
              </w:rPr>
              <w:t>日</w:t>
            </w:r>
          </w:p>
        </w:tc>
      </w:tr>
      <w:tr w:rsidR="00667BB0" w14:paraId="165CD549" w14:textId="77777777" w:rsidTr="005E5C92">
        <w:tc>
          <w:tcPr>
            <w:tcW w:w="1668" w:type="dxa"/>
            <w:tcBorders>
              <w:top w:val="single" w:sz="4" w:space="0" w:color="auto"/>
              <w:left w:val="single" w:sz="4" w:space="0" w:color="auto"/>
              <w:bottom w:val="single" w:sz="4" w:space="0" w:color="auto"/>
              <w:right w:val="single" w:sz="4" w:space="0" w:color="auto"/>
            </w:tcBorders>
            <w:vAlign w:val="center"/>
          </w:tcPr>
          <w:p w14:paraId="723BA1C7" w14:textId="77777777" w:rsidR="00667BB0" w:rsidRDefault="000905F9">
            <w:pPr>
              <w:spacing w:line="420" w:lineRule="exact"/>
              <w:rPr>
                <w:bCs/>
                <w:iCs/>
                <w:color w:val="000000"/>
                <w:kern w:val="0"/>
                <w:sz w:val="24"/>
              </w:rPr>
            </w:pPr>
            <w:r>
              <w:rPr>
                <w:rFonts w:hAnsi="宋体"/>
                <w:bCs/>
                <w:iCs/>
                <w:color w:val="000000"/>
                <w:kern w:val="0"/>
                <w:sz w:val="24"/>
              </w:rPr>
              <w:t>地点</w:t>
            </w:r>
          </w:p>
        </w:tc>
        <w:tc>
          <w:tcPr>
            <w:tcW w:w="7087" w:type="dxa"/>
            <w:tcBorders>
              <w:top w:val="single" w:sz="4" w:space="0" w:color="auto"/>
              <w:left w:val="single" w:sz="4" w:space="0" w:color="auto"/>
              <w:bottom w:val="single" w:sz="4" w:space="0" w:color="auto"/>
              <w:right w:val="single" w:sz="4" w:space="0" w:color="auto"/>
            </w:tcBorders>
          </w:tcPr>
          <w:p w14:paraId="6D6E1B4A" w14:textId="760084F2" w:rsidR="00667BB0" w:rsidRDefault="00E83385">
            <w:pPr>
              <w:spacing w:line="420" w:lineRule="exact"/>
              <w:rPr>
                <w:bCs/>
                <w:iCs/>
                <w:color w:val="000000"/>
                <w:sz w:val="24"/>
              </w:rPr>
            </w:pPr>
            <w:r>
              <w:rPr>
                <w:rFonts w:hint="eastAsia"/>
                <w:bCs/>
                <w:iCs/>
                <w:color w:val="000000"/>
                <w:sz w:val="24"/>
              </w:rPr>
              <w:t>上海、深圳、</w:t>
            </w:r>
            <w:r w:rsidR="005332A9">
              <w:rPr>
                <w:rFonts w:hint="eastAsia"/>
                <w:bCs/>
                <w:iCs/>
                <w:color w:val="000000"/>
                <w:sz w:val="24"/>
              </w:rPr>
              <w:t>江阴、</w:t>
            </w:r>
            <w:r>
              <w:rPr>
                <w:rFonts w:hint="eastAsia"/>
                <w:bCs/>
                <w:iCs/>
                <w:color w:val="000000"/>
                <w:sz w:val="24"/>
              </w:rPr>
              <w:t>香港</w:t>
            </w:r>
          </w:p>
        </w:tc>
      </w:tr>
      <w:tr w:rsidR="00667BB0" w14:paraId="4C08B86A" w14:textId="77777777" w:rsidTr="005E5C92">
        <w:tc>
          <w:tcPr>
            <w:tcW w:w="1668" w:type="dxa"/>
            <w:tcBorders>
              <w:top w:val="single" w:sz="4" w:space="0" w:color="auto"/>
              <w:left w:val="single" w:sz="4" w:space="0" w:color="auto"/>
              <w:bottom w:val="single" w:sz="4" w:space="0" w:color="auto"/>
              <w:right w:val="single" w:sz="4" w:space="0" w:color="auto"/>
            </w:tcBorders>
            <w:vAlign w:val="center"/>
          </w:tcPr>
          <w:p w14:paraId="4EFA2336" w14:textId="14BD80F8" w:rsidR="00667BB0" w:rsidRDefault="00E83385">
            <w:pPr>
              <w:spacing w:line="420" w:lineRule="exact"/>
              <w:rPr>
                <w:bCs/>
                <w:iCs/>
                <w:color w:val="000000"/>
                <w:kern w:val="0"/>
                <w:sz w:val="24"/>
              </w:rPr>
            </w:pPr>
            <w:r>
              <w:rPr>
                <w:rFonts w:hAnsi="宋体"/>
                <w:bCs/>
                <w:iCs/>
                <w:color w:val="000000"/>
                <w:kern w:val="0"/>
                <w:sz w:val="24"/>
              </w:rPr>
              <w:t>上市公司接待人员</w:t>
            </w:r>
          </w:p>
        </w:tc>
        <w:tc>
          <w:tcPr>
            <w:tcW w:w="7087" w:type="dxa"/>
            <w:tcBorders>
              <w:top w:val="single" w:sz="4" w:space="0" w:color="auto"/>
              <w:left w:val="single" w:sz="4" w:space="0" w:color="auto"/>
              <w:bottom w:val="single" w:sz="4" w:space="0" w:color="auto"/>
              <w:right w:val="single" w:sz="4" w:space="0" w:color="auto"/>
            </w:tcBorders>
            <w:vAlign w:val="center"/>
          </w:tcPr>
          <w:p w14:paraId="15C9EDAE" w14:textId="10F7782B" w:rsidR="005332A9" w:rsidRDefault="005332A9">
            <w:pPr>
              <w:spacing w:line="420" w:lineRule="exact"/>
              <w:rPr>
                <w:rFonts w:ascii="宋体" w:hAnsi="宋体"/>
                <w:bCs/>
                <w:sz w:val="24"/>
              </w:rPr>
            </w:pPr>
            <w:r>
              <w:rPr>
                <w:rFonts w:ascii="宋体" w:hAnsi="宋体" w:hint="eastAsia"/>
                <w:bCs/>
                <w:sz w:val="24"/>
              </w:rPr>
              <w:t>公司董事、</w:t>
            </w:r>
            <w:r w:rsidRPr="005332A9">
              <w:rPr>
                <w:rFonts w:ascii="宋体" w:hAnsi="宋体" w:hint="eastAsia"/>
                <w:bCs/>
                <w:sz w:val="24"/>
              </w:rPr>
              <w:t>执行副总裁</w:t>
            </w:r>
            <w:r>
              <w:rPr>
                <w:rFonts w:ascii="宋体" w:hAnsi="宋体" w:hint="eastAsia"/>
                <w:bCs/>
                <w:sz w:val="24"/>
              </w:rPr>
              <w:t>：彭庆先生</w:t>
            </w:r>
          </w:p>
          <w:p w14:paraId="3F473087" w14:textId="1D20C78D" w:rsidR="005332A9" w:rsidRPr="005332A9" w:rsidRDefault="005332A9">
            <w:pPr>
              <w:spacing w:line="420" w:lineRule="exact"/>
              <w:rPr>
                <w:rFonts w:ascii="宋体" w:hAnsi="宋体"/>
                <w:bCs/>
                <w:sz w:val="24"/>
              </w:rPr>
            </w:pPr>
            <w:r>
              <w:rPr>
                <w:rFonts w:ascii="宋体" w:hAnsi="宋体" w:hint="eastAsia"/>
                <w:bCs/>
                <w:sz w:val="24"/>
              </w:rPr>
              <w:t>公司董事、首席财务长(CFO</w:t>
            </w:r>
            <w:r>
              <w:rPr>
                <w:rFonts w:ascii="宋体" w:hAnsi="宋体"/>
                <w:bCs/>
                <w:sz w:val="24"/>
              </w:rPr>
              <w:t>)</w:t>
            </w:r>
            <w:r>
              <w:rPr>
                <w:rFonts w:ascii="宋体" w:hAnsi="宋体" w:hint="eastAsia"/>
                <w:bCs/>
                <w:sz w:val="24"/>
              </w:rPr>
              <w:t>：梁征先生</w:t>
            </w:r>
          </w:p>
          <w:p w14:paraId="1506B6D7" w14:textId="521C70EF" w:rsidR="002277BC" w:rsidRDefault="002277BC">
            <w:pPr>
              <w:spacing w:line="420" w:lineRule="exact"/>
              <w:rPr>
                <w:rFonts w:ascii="宋体" w:hAnsi="宋体"/>
                <w:bCs/>
                <w:sz w:val="24"/>
              </w:rPr>
            </w:pPr>
            <w:r>
              <w:rPr>
                <w:rFonts w:ascii="宋体" w:hAnsi="宋体" w:hint="eastAsia"/>
                <w:bCs/>
                <w:sz w:val="24"/>
              </w:rPr>
              <w:t>公司副总裁</w:t>
            </w:r>
            <w:r w:rsidR="005332A9">
              <w:rPr>
                <w:rFonts w:ascii="宋体" w:hAnsi="宋体" w:hint="eastAsia"/>
                <w:bCs/>
                <w:sz w:val="24"/>
              </w:rPr>
              <w:t>：</w:t>
            </w:r>
            <w:r>
              <w:rPr>
                <w:rFonts w:ascii="宋体" w:hAnsi="宋体" w:hint="eastAsia"/>
                <w:bCs/>
                <w:sz w:val="24"/>
              </w:rPr>
              <w:t>吴宏鲲先生</w:t>
            </w:r>
          </w:p>
          <w:p w14:paraId="19C3AFCD" w14:textId="05AE913E" w:rsidR="00667BB0" w:rsidRDefault="00E83385">
            <w:pPr>
              <w:spacing w:line="420" w:lineRule="exact"/>
              <w:rPr>
                <w:rFonts w:ascii="宋体" w:hAnsi="宋体"/>
                <w:bCs/>
                <w:sz w:val="24"/>
              </w:rPr>
            </w:pPr>
            <w:r>
              <w:rPr>
                <w:rFonts w:ascii="宋体" w:hAnsi="宋体" w:hint="eastAsia"/>
                <w:bCs/>
                <w:sz w:val="24"/>
              </w:rPr>
              <w:t>投资者关系团队</w:t>
            </w:r>
          </w:p>
        </w:tc>
      </w:tr>
      <w:tr w:rsidR="00667BB0" w14:paraId="0141A047" w14:textId="77777777" w:rsidTr="005E5C92">
        <w:tc>
          <w:tcPr>
            <w:tcW w:w="1668" w:type="dxa"/>
            <w:tcBorders>
              <w:top w:val="single" w:sz="4" w:space="0" w:color="auto"/>
              <w:left w:val="single" w:sz="4" w:space="0" w:color="auto"/>
              <w:bottom w:val="single" w:sz="4" w:space="0" w:color="auto"/>
              <w:right w:val="single" w:sz="4" w:space="0" w:color="auto"/>
            </w:tcBorders>
            <w:vAlign w:val="center"/>
          </w:tcPr>
          <w:p w14:paraId="320390B7" w14:textId="77777777" w:rsidR="00667BB0" w:rsidRDefault="000905F9">
            <w:pPr>
              <w:spacing w:line="420" w:lineRule="exact"/>
              <w:rPr>
                <w:bCs/>
                <w:iCs/>
                <w:color w:val="000000"/>
                <w:kern w:val="0"/>
                <w:sz w:val="24"/>
              </w:rPr>
            </w:pPr>
            <w:r>
              <w:rPr>
                <w:rFonts w:hAnsi="宋体"/>
                <w:bCs/>
                <w:iCs/>
                <w:color w:val="000000"/>
                <w:kern w:val="0"/>
                <w:sz w:val="24"/>
              </w:rPr>
              <w:t>投资者关系活动主要内容介绍</w:t>
            </w:r>
          </w:p>
          <w:p w14:paraId="7E55498B" w14:textId="77777777" w:rsidR="00667BB0" w:rsidRDefault="00667BB0">
            <w:pPr>
              <w:spacing w:line="420" w:lineRule="exact"/>
              <w:rPr>
                <w:bCs/>
                <w:iCs/>
                <w:color w:val="000000"/>
                <w:sz w:val="24"/>
              </w:rPr>
            </w:pPr>
          </w:p>
        </w:tc>
        <w:tc>
          <w:tcPr>
            <w:tcW w:w="7087" w:type="dxa"/>
            <w:tcBorders>
              <w:top w:val="single" w:sz="4" w:space="0" w:color="auto"/>
              <w:left w:val="single" w:sz="4" w:space="0" w:color="auto"/>
              <w:bottom w:val="single" w:sz="4" w:space="0" w:color="auto"/>
              <w:right w:val="single" w:sz="4" w:space="0" w:color="auto"/>
            </w:tcBorders>
          </w:tcPr>
          <w:p w14:paraId="24E61336" w14:textId="3B8A03A3" w:rsidR="00667BB0" w:rsidRDefault="00EB77D3" w:rsidP="005E5C92">
            <w:pPr>
              <w:pStyle w:val="Style6"/>
              <w:spacing w:line="400" w:lineRule="exact"/>
              <w:ind w:firstLine="482"/>
              <w:rPr>
                <w:rFonts w:ascii="宋体" w:hAnsi="宋体"/>
                <w:b/>
                <w:sz w:val="24"/>
                <w:szCs w:val="24"/>
              </w:rPr>
            </w:pPr>
            <w:r>
              <w:rPr>
                <w:rFonts w:ascii="宋体" w:hAnsi="宋体" w:hint="eastAsia"/>
                <w:b/>
                <w:sz w:val="24"/>
                <w:szCs w:val="24"/>
              </w:rPr>
              <w:t>问题一：</w:t>
            </w:r>
            <w:r w:rsidR="00376655">
              <w:rPr>
                <w:rFonts w:ascii="宋体" w:hAnsi="宋体" w:hint="eastAsia"/>
                <w:b/>
                <w:sz w:val="24"/>
                <w:szCs w:val="24"/>
              </w:rPr>
              <w:t>公司上半年业绩情况？</w:t>
            </w:r>
          </w:p>
          <w:p w14:paraId="4F9BB4E1" w14:textId="7F715253" w:rsidR="00EB77D3" w:rsidRDefault="00EB77D3" w:rsidP="005E5C92">
            <w:pPr>
              <w:pStyle w:val="Style6"/>
              <w:spacing w:line="400" w:lineRule="exact"/>
              <w:ind w:firstLine="480"/>
              <w:rPr>
                <w:rFonts w:ascii="宋体" w:hAnsi="宋体"/>
                <w:sz w:val="24"/>
                <w:szCs w:val="24"/>
              </w:rPr>
            </w:pPr>
            <w:r w:rsidRPr="00EB77D3">
              <w:rPr>
                <w:rFonts w:ascii="宋体" w:hAnsi="宋体" w:hint="eastAsia"/>
                <w:sz w:val="24"/>
                <w:szCs w:val="24"/>
              </w:rPr>
              <w:t>答：</w:t>
            </w:r>
            <w:r w:rsidR="00376655" w:rsidRPr="00376655">
              <w:rPr>
                <w:rFonts w:ascii="宋体" w:hAnsi="宋体" w:hint="eastAsia"/>
                <w:sz w:val="24"/>
                <w:szCs w:val="24"/>
              </w:rPr>
              <w:t>营收方面，2025年上半年公司实现营业收入186.1亿元，同比增长20.1%，创历史同期新高。2025年上半年部分终端应用</w:t>
            </w:r>
            <w:r w:rsidR="00376655">
              <w:rPr>
                <w:rFonts w:ascii="宋体" w:hAnsi="宋体" w:hint="eastAsia"/>
                <w:sz w:val="24"/>
                <w:szCs w:val="24"/>
              </w:rPr>
              <w:t>市场回暖，客户订单增加，整体产能利用率较去年同期显著增长。上半年</w:t>
            </w:r>
            <w:r w:rsidR="00376655" w:rsidRPr="00376655">
              <w:rPr>
                <w:rFonts w:ascii="宋体" w:hAnsi="宋体" w:hint="eastAsia"/>
                <w:sz w:val="24"/>
                <w:szCs w:val="24"/>
              </w:rPr>
              <w:t>平均产能利用率</w:t>
            </w:r>
            <w:r w:rsidR="00376655">
              <w:rPr>
                <w:rFonts w:ascii="宋体" w:hAnsi="宋体" w:hint="eastAsia"/>
                <w:sz w:val="24"/>
                <w:szCs w:val="24"/>
              </w:rPr>
              <w:t>同比去年明显提升</w:t>
            </w:r>
            <w:r w:rsidR="00376655" w:rsidRPr="00376655">
              <w:rPr>
                <w:rFonts w:ascii="宋体" w:hAnsi="宋体" w:hint="eastAsia"/>
                <w:sz w:val="24"/>
                <w:szCs w:val="24"/>
              </w:rPr>
              <w:t>，部分产线产能利用率</w:t>
            </w:r>
            <w:r w:rsidR="00376655">
              <w:rPr>
                <w:rFonts w:ascii="宋体" w:hAnsi="宋体" w:hint="eastAsia"/>
                <w:sz w:val="24"/>
                <w:szCs w:val="24"/>
              </w:rPr>
              <w:t>第二季度</w:t>
            </w:r>
            <w:r w:rsidR="00376655" w:rsidRPr="00376655">
              <w:rPr>
                <w:rFonts w:ascii="宋体" w:hAnsi="宋体" w:hint="eastAsia"/>
                <w:sz w:val="24"/>
                <w:szCs w:val="24"/>
              </w:rPr>
              <w:t>已达90%</w:t>
            </w:r>
            <w:r w:rsidR="00376655">
              <w:rPr>
                <w:rFonts w:ascii="宋体" w:hAnsi="宋体" w:hint="eastAsia"/>
                <w:sz w:val="24"/>
                <w:szCs w:val="24"/>
              </w:rPr>
              <w:t>以上</w:t>
            </w:r>
            <w:r w:rsidR="00376655" w:rsidRPr="00376655">
              <w:rPr>
                <w:rFonts w:ascii="宋体" w:hAnsi="宋体" w:hint="eastAsia"/>
                <w:sz w:val="24"/>
                <w:szCs w:val="24"/>
              </w:rPr>
              <w:t>。公司在先进封装及测试领域的全球产能布局进一步优化，以配合端侧智能、智能驾驶、高密度存储等市场热点领域需求。2025年上半年，公司在运算电子、工业及医疗电子、汽车电子领域的营收均实现大幅增长，分别达到72.1%、38.6%和34.2%。公司持续坚持以应用驱动创新，深化在先进封装技术开发、工艺落地及传统封装先进化等方面的战略布局，进一步提升智能制造水平，从而获取更多市场份额。</w:t>
            </w:r>
            <w:r w:rsidR="00376655">
              <w:rPr>
                <w:rFonts w:ascii="宋体" w:hAnsi="宋体" w:hint="eastAsia"/>
                <w:sz w:val="24"/>
                <w:szCs w:val="24"/>
              </w:rPr>
              <w:t>上半年</w:t>
            </w:r>
            <w:r w:rsidR="00376655" w:rsidRPr="00376655">
              <w:rPr>
                <w:rFonts w:ascii="宋体" w:hAnsi="宋体" w:hint="eastAsia"/>
                <w:sz w:val="24"/>
                <w:szCs w:val="24"/>
              </w:rPr>
              <w:t>实现归属上市公司股东的净利润为4.7亿元，同比下降24%</w:t>
            </w:r>
            <w:r w:rsidR="00376655">
              <w:rPr>
                <w:rFonts w:ascii="宋体" w:hAnsi="宋体" w:hint="eastAsia"/>
                <w:sz w:val="24"/>
                <w:szCs w:val="24"/>
              </w:rPr>
              <w:t>，主要是</w:t>
            </w:r>
            <w:r w:rsidR="00376655" w:rsidRPr="00376655">
              <w:rPr>
                <w:rFonts w:ascii="宋体" w:hAnsi="宋体" w:hint="eastAsia"/>
                <w:sz w:val="24"/>
                <w:szCs w:val="24"/>
              </w:rPr>
              <w:t>新建生产基地处于爬坡期，运营成本上升；</w:t>
            </w:r>
            <w:r w:rsidR="00376655">
              <w:rPr>
                <w:rFonts w:ascii="宋体" w:hAnsi="宋体" w:hint="eastAsia"/>
                <w:sz w:val="24"/>
                <w:szCs w:val="24"/>
              </w:rPr>
              <w:t>同时</w:t>
            </w:r>
            <w:r w:rsidR="00376655" w:rsidRPr="00376655">
              <w:rPr>
                <w:rFonts w:ascii="宋体" w:hAnsi="宋体" w:hint="eastAsia"/>
                <w:sz w:val="24"/>
                <w:szCs w:val="24"/>
              </w:rPr>
              <w:t>研发费用投入增加及财务费用的影响</w:t>
            </w:r>
            <w:r w:rsidR="00376655">
              <w:rPr>
                <w:rFonts w:ascii="宋体" w:hAnsi="宋体" w:hint="eastAsia"/>
                <w:sz w:val="24"/>
                <w:szCs w:val="24"/>
              </w:rPr>
              <w:t>。</w:t>
            </w:r>
          </w:p>
          <w:p w14:paraId="6D2E51B9" w14:textId="77777777" w:rsidR="00376655" w:rsidRPr="00376655" w:rsidRDefault="00376655" w:rsidP="005E5C92">
            <w:pPr>
              <w:pStyle w:val="Style6"/>
              <w:spacing w:line="400" w:lineRule="exact"/>
              <w:ind w:firstLine="480"/>
              <w:rPr>
                <w:rFonts w:ascii="宋体" w:hAnsi="宋体"/>
                <w:sz w:val="24"/>
                <w:szCs w:val="24"/>
              </w:rPr>
            </w:pPr>
          </w:p>
          <w:p w14:paraId="1A23D17C" w14:textId="319A6315" w:rsidR="00EB77D3" w:rsidRDefault="00EB77D3" w:rsidP="005E5C92">
            <w:pPr>
              <w:pStyle w:val="Style6"/>
              <w:spacing w:line="400" w:lineRule="exact"/>
              <w:ind w:firstLine="482"/>
              <w:rPr>
                <w:rFonts w:ascii="宋体" w:hAnsi="宋体"/>
                <w:b/>
                <w:sz w:val="24"/>
                <w:szCs w:val="24"/>
              </w:rPr>
            </w:pPr>
            <w:r>
              <w:rPr>
                <w:rFonts w:ascii="宋体" w:hAnsi="宋体" w:hint="eastAsia"/>
                <w:b/>
                <w:sz w:val="24"/>
                <w:szCs w:val="24"/>
              </w:rPr>
              <w:t>问题二：</w:t>
            </w:r>
            <w:r w:rsidR="00376655">
              <w:rPr>
                <w:rFonts w:ascii="宋体" w:hAnsi="宋体" w:hint="eastAsia"/>
                <w:b/>
                <w:sz w:val="24"/>
                <w:szCs w:val="24"/>
              </w:rPr>
              <w:t>公司今年的资本开支计划及投入方向？</w:t>
            </w:r>
          </w:p>
          <w:p w14:paraId="173F90D0" w14:textId="77777777" w:rsidR="00092000" w:rsidRDefault="00EB77D3" w:rsidP="005E5C92">
            <w:pPr>
              <w:pStyle w:val="Style6"/>
              <w:spacing w:line="400" w:lineRule="exact"/>
              <w:ind w:firstLine="480"/>
              <w:rPr>
                <w:rFonts w:ascii="宋体" w:hAnsi="宋体"/>
                <w:sz w:val="24"/>
                <w:szCs w:val="24"/>
              </w:rPr>
            </w:pPr>
            <w:r w:rsidRPr="00EB77D3">
              <w:rPr>
                <w:rFonts w:ascii="宋体" w:hAnsi="宋体" w:hint="eastAsia"/>
                <w:sz w:val="24"/>
                <w:szCs w:val="24"/>
              </w:rPr>
              <w:t>答：</w:t>
            </w:r>
            <w:r w:rsidR="00376655" w:rsidRPr="00376655">
              <w:rPr>
                <w:rFonts w:ascii="宋体" w:hAnsi="宋体" w:hint="eastAsia"/>
                <w:sz w:val="24"/>
                <w:szCs w:val="24"/>
              </w:rPr>
              <w:t>资本支出方面，公司目前仍维持全年85亿元的开支计划不变。从研发布局上，我们会继续聚焦在先进封装的项目以及它的技术突破上面；在应用层面，重点投向</w:t>
            </w:r>
            <w:r w:rsidR="005F614E">
              <w:rPr>
                <w:rFonts w:ascii="宋体" w:hAnsi="宋体" w:hint="eastAsia"/>
                <w:sz w:val="24"/>
                <w:szCs w:val="24"/>
              </w:rPr>
              <w:t>运算、</w:t>
            </w:r>
            <w:r w:rsidR="00376655" w:rsidRPr="00376655">
              <w:rPr>
                <w:rFonts w:ascii="宋体" w:hAnsi="宋体" w:hint="eastAsia"/>
                <w:sz w:val="24"/>
                <w:szCs w:val="24"/>
              </w:rPr>
              <w:t>汽车电子、功率与能源等市场增长迅速的领域。</w:t>
            </w:r>
          </w:p>
          <w:p w14:paraId="53D3DC97" w14:textId="77777777" w:rsidR="00EB77D3" w:rsidRDefault="00EB77D3" w:rsidP="005E5C92">
            <w:pPr>
              <w:pStyle w:val="Style6"/>
              <w:spacing w:line="400" w:lineRule="exact"/>
              <w:ind w:firstLine="482"/>
              <w:rPr>
                <w:rFonts w:ascii="宋体" w:hAnsi="宋体"/>
                <w:b/>
                <w:sz w:val="24"/>
                <w:szCs w:val="24"/>
              </w:rPr>
            </w:pPr>
          </w:p>
          <w:p w14:paraId="4032A68B" w14:textId="5ABD250B" w:rsidR="00B66D6D" w:rsidRPr="00B66D6D" w:rsidRDefault="00EB77D3" w:rsidP="005E5C92">
            <w:pPr>
              <w:pStyle w:val="Style6"/>
              <w:spacing w:line="400" w:lineRule="exact"/>
              <w:ind w:firstLine="482"/>
              <w:rPr>
                <w:rFonts w:ascii="宋体" w:hAnsi="宋体"/>
                <w:b/>
                <w:sz w:val="24"/>
              </w:rPr>
            </w:pPr>
            <w:r>
              <w:rPr>
                <w:rFonts w:ascii="宋体" w:hAnsi="宋体" w:hint="eastAsia"/>
                <w:b/>
                <w:sz w:val="24"/>
                <w:szCs w:val="24"/>
              </w:rPr>
              <w:t>问题三：</w:t>
            </w:r>
            <w:r w:rsidR="00B66D6D">
              <w:rPr>
                <w:rFonts w:ascii="宋体" w:hAnsi="宋体" w:hint="eastAsia"/>
                <w:b/>
                <w:sz w:val="24"/>
              </w:rPr>
              <w:t>公司</w:t>
            </w:r>
            <w:r w:rsidR="00B66D6D" w:rsidRPr="00B66D6D">
              <w:rPr>
                <w:rFonts w:ascii="宋体" w:hAnsi="宋体" w:hint="eastAsia"/>
                <w:b/>
                <w:sz w:val="24"/>
              </w:rPr>
              <w:t>后续跟</w:t>
            </w:r>
            <w:r w:rsidR="00044660">
              <w:rPr>
                <w:rFonts w:ascii="宋体" w:hAnsi="宋体" w:hint="eastAsia"/>
                <w:b/>
                <w:sz w:val="24"/>
              </w:rPr>
              <w:t>大</w:t>
            </w:r>
            <w:r w:rsidR="00B66D6D" w:rsidRPr="00B66D6D">
              <w:rPr>
                <w:rFonts w:ascii="宋体" w:hAnsi="宋体" w:hint="eastAsia"/>
                <w:b/>
                <w:sz w:val="24"/>
              </w:rPr>
              <w:t>股东</w:t>
            </w:r>
            <w:r w:rsidR="00044660">
              <w:rPr>
                <w:rFonts w:ascii="宋体" w:hAnsi="宋体" w:hint="eastAsia"/>
                <w:b/>
                <w:sz w:val="24"/>
              </w:rPr>
              <w:t>华润</w:t>
            </w:r>
            <w:r w:rsidR="00B66D6D" w:rsidRPr="00B66D6D">
              <w:rPr>
                <w:rFonts w:ascii="宋体" w:hAnsi="宋体" w:hint="eastAsia"/>
                <w:b/>
                <w:sz w:val="24"/>
              </w:rPr>
              <w:t xml:space="preserve">方面会有哪些合作？ </w:t>
            </w:r>
          </w:p>
          <w:p w14:paraId="722BF836" w14:textId="6D2D5865" w:rsidR="00B66D6D" w:rsidRPr="005E5C92" w:rsidRDefault="005332A9" w:rsidP="005E5C92">
            <w:pPr>
              <w:pStyle w:val="Style6"/>
              <w:spacing w:line="400" w:lineRule="exact"/>
              <w:ind w:firstLine="480"/>
              <w:rPr>
                <w:rFonts w:ascii="宋体" w:hAnsi="宋体"/>
                <w:sz w:val="24"/>
              </w:rPr>
            </w:pPr>
            <w:r>
              <w:rPr>
                <w:rFonts w:ascii="宋体" w:hAnsi="宋体" w:hint="eastAsia"/>
                <w:sz w:val="24"/>
              </w:rPr>
              <w:t>答：</w:t>
            </w:r>
            <w:r w:rsidR="00B66D6D" w:rsidRPr="005E5C92">
              <w:rPr>
                <w:rFonts w:ascii="宋体" w:hAnsi="宋体" w:hint="eastAsia"/>
                <w:sz w:val="24"/>
              </w:rPr>
              <w:t>华润集团作为长电的大股东，对于长电的发展高度重视。</w:t>
            </w:r>
            <w:r w:rsidR="00F8640B" w:rsidRPr="005E5C92">
              <w:rPr>
                <w:rFonts w:ascii="宋体" w:hAnsi="宋体" w:hint="eastAsia"/>
                <w:sz w:val="24"/>
              </w:rPr>
              <w:t>未来会</w:t>
            </w:r>
            <w:r w:rsidR="00475D3B" w:rsidRPr="005E5C92">
              <w:rPr>
                <w:rFonts w:ascii="宋体" w:hAnsi="宋体" w:hint="eastAsia"/>
                <w:sz w:val="24"/>
              </w:rPr>
              <w:t>进一步支持长电保持市场化的机制。</w:t>
            </w:r>
            <w:r w:rsidR="00B66D6D" w:rsidRPr="005E5C92">
              <w:rPr>
                <w:rFonts w:ascii="宋体" w:hAnsi="宋体" w:hint="eastAsia"/>
                <w:sz w:val="24"/>
              </w:rPr>
              <w:t>华润集团长期以来是充分在市场上参与</w:t>
            </w:r>
            <w:r w:rsidR="00475D3B" w:rsidRPr="005E5C92">
              <w:rPr>
                <w:rFonts w:ascii="宋体" w:hAnsi="宋体" w:hint="eastAsia"/>
                <w:sz w:val="24"/>
              </w:rPr>
              <w:t>竞争的多元化集团公司，有着非常好国际视野和和战略思维，可以</w:t>
            </w:r>
            <w:r w:rsidR="00B66D6D" w:rsidRPr="005E5C92">
              <w:rPr>
                <w:rFonts w:ascii="宋体" w:hAnsi="宋体" w:hint="eastAsia"/>
                <w:sz w:val="24"/>
              </w:rPr>
              <w:t>从</w:t>
            </w:r>
            <w:r w:rsidR="00811F7B" w:rsidRPr="005E5C92">
              <w:rPr>
                <w:rFonts w:ascii="宋体" w:hAnsi="宋体" w:hint="eastAsia"/>
                <w:sz w:val="24"/>
              </w:rPr>
              <w:t>以下</w:t>
            </w:r>
            <w:r w:rsidR="00B66D6D" w:rsidRPr="005E5C92">
              <w:rPr>
                <w:rFonts w:ascii="宋体" w:hAnsi="宋体" w:hint="eastAsia"/>
                <w:sz w:val="24"/>
              </w:rPr>
              <w:t>几个方面持续给长电做赋能。</w:t>
            </w:r>
          </w:p>
          <w:p w14:paraId="1BDE2808" w14:textId="706D54D9" w:rsidR="00B66D6D" w:rsidRPr="005E5C92" w:rsidRDefault="00B66D6D" w:rsidP="005E5C92">
            <w:pPr>
              <w:pStyle w:val="Style6"/>
              <w:spacing w:line="400" w:lineRule="exact"/>
              <w:ind w:firstLine="480"/>
              <w:rPr>
                <w:rFonts w:ascii="宋体" w:hAnsi="宋体"/>
                <w:sz w:val="24"/>
              </w:rPr>
            </w:pPr>
            <w:r w:rsidRPr="005E5C92">
              <w:rPr>
                <w:rFonts w:ascii="宋体" w:hAnsi="宋体" w:hint="eastAsia"/>
                <w:sz w:val="24"/>
              </w:rPr>
              <w:t>在战略层面，华润集团有非常好的战略管理工具，长电也结合</w:t>
            </w:r>
            <w:r w:rsidRPr="005E5C92">
              <w:rPr>
                <w:rFonts w:ascii="宋体" w:hAnsi="宋体" w:hint="eastAsia"/>
                <w:sz w:val="24"/>
              </w:rPr>
              <w:lastRenderedPageBreak/>
              <w:t>运用好华润集团的“四个重塑”等工具，进一步的规划长期发展战略，实现战略对于业务的引领。</w:t>
            </w:r>
          </w:p>
          <w:p w14:paraId="34B26A7D" w14:textId="2D5D0331" w:rsidR="00B66D6D" w:rsidRPr="005E5C92" w:rsidRDefault="00B66D6D" w:rsidP="005E5C92">
            <w:pPr>
              <w:pStyle w:val="Style6"/>
              <w:spacing w:line="400" w:lineRule="exact"/>
              <w:ind w:firstLine="480"/>
              <w:rPr>
                <w:rFonts w:ascii="宋体" w:hAnsi="宋体"/>
                <w:sz w:val="24"/>
              </w:rPr>
            </w:pPr>
            <w:r w:rsidRPr="005E5C92">
              <w:rPr>
                <w:rFonts w:ascii="宋体" w:hAnsi="宋体" w:hint="eastAsia"/>
                <w:sz w:val="24"/>
              </w:rPr>
              <w:t>在资源协同方面，华润具有多元化的优势，能够为长电提供产业、客户和财务资源等各方面的支持，助力长电在供应链的整合，以及外延式并购，合规体系的建设。包括对于我们融资以及日常经营等方面都具有非常大的支持。</w:t>
            </w:r>
          </w:p>
          <w:p w14:paraId="3BABFE00" w14:textId="77777777" w:rsidR="00B66D6D" w:rsidRPr="005E5C92" w:rsidRDefault="00B66D6D" w:rsidP="005E5C92">
            <w:pPr>
              <w:pStyle w:val="Style6"/>
              <w:spacing w:line="400" w:lineRule="exact"/>
              <w:ind w:firstLine="480"/>
              <w:rPr>
                <w:rFonts w:ascii="宋体" w:hAnsi="宋体"/>
                <w:sz w:val="24"/>
              </w:rPr>
            </w:pPr>
            <w:r w:rsidRPr="005E5C92">
              <w:rPr>
                <w:rFonts w:ascii="宋体" w:hAnsi="宋体" w:hint="eastAsia"/>
                <w:sz w:val="24"/>
              </w:rPr>
              <w:t>在人才激励方面，华润集团继续支持长电完善现有人才管理的激励机制，并且将集团的培训能力提升资源提供给长电，强化了长电的梯队和团队的融合能力提升。</w:t>
            </w:r>
            <w:r w:rsidRPr="005E5C92">
              <w:rPr>
                <w:rFonts w:ascii="宋体" w:hAnsi="宋体"/>
                <w:sz w:val="24"/>
              </w:rPr>
              <w:t xml:space="preserve"> </w:t>
            </w:r>
          </w:p>
          <w:p w14:paraId="503C0F81" w14:textId="49F459EA" w:rsidR="00B66D6D" w:rsidRPr="005E5C92" w:rsidRDefault="00B66D6D" w:rsidP="005E5C92">
            <w:pPr>
              <w:pStyle w:val="Style6"/>
              <w:spacing w:line="400" w:lineRule="exact"/>
              <w:ind w:firstLine="480"/>
              <w:rPr>
                <w:rFonts w:ascii="宋体" w:hAnsi="宋体"/>
                <w:sz w:val="24"/>
              </w:rPr>
            </w:pPr>
            <w:r w:rsidRPr="005E5C92">
              <w:rPr>
                <w:rFonts w:ascii="宋体" w:hAnsi="宋体" w:hint="eastAsia"/>
                <w:sz w:val="24"/>
              </w:rPr>
              <w:t>在管理工具方面，华润集团过去也有一些经典的</w:t>
            </w:r>
            <w:r w:rsidRPr="005E5C92">
              <w:rPr>
                <w:rFonts w:ascii="宋体" w:hAnsi="宋体"/>
                <w:sz w:val="24"/>
              </w:rPr>
              <w:t>5C价值型财务管理体系和6S战略体系的工具和方法，进一步助力长</w:t>
            </w:r>
            <w:r w:rsidRPr="005E5C92">
              <w:rPr>
                <w:rFonts w:ascii="宋体" w:hAnsi="宋体" w:hint="eastAsia"/>
                <w:sz w:val="24"/>
              </w:rPr>
              <w:t>电未来管理体系和能力的升级。华润集团是一个支持和赋能的角色，长电在积极融入到华润的管理体系中，通过这样的双向奔赴，努力能够提升管理效率，进一步提升长电的企业价值。</w:t>
            </w:r>
          </w:p>
          <w:p w14:paraId="6F3C5DF4" w14:textId="77777777" w:rsidR="00621334" w:rsidRDefault="00621334" w:rsidP="005E5C92">
            <w:pPr>
              <w:pStyle w:val="Style6"/>
              <w:spacing w:line="400" w:lineRule="exact"/>
              <w:ind w:firstLine="482"/>
              <w:rPr>
                <w:rFonts w:ascii="宋体" w:hAnsi="宋体"/>
                <w:b/>
                <w:sz w:val="24"/>
                <w:szCs w:val="24"/>
              </w:rPr>
            </w:pPr>
          </w:p>
          <w:p w14:paraId="6E7D321A" w14:textId="1B7024FF" w:rsidR="00EB77D3" w:rsidRDefault="00A26AE8" w:rsidP="005E5C92">
            <w:pPr>
              <w:pStyle w:val="Style6"/>
              <w:spacing w:line="400" w:lineRule="exact"/>
              <w:ind w:firstLine="482"/>
              <w:rPr>
                <w:rFonts w:ascii="宋体" w:hAnsi="宋体"/>
                <w:b/>
                <w:sz w:val="24"/>
                <w:szCs w:val="24"/>
              </w:rPr>
            </w:pPr>
            <w:r>
              <w:rPr>
                <w:rFonts w:ascii="宋体" w:hAnsi="宋体" w:hint="eastAsia"/>
                <w:b/>
                <w:sz w:val="24"/>
                <w:szCs w:val="24"/>
              </w:rPr>
              <w:t>问题四：</w:t>
            </w:r>
            <w:r w:rsidR="00C4435A">
              <w:rPr>
                <w:rFonts w:ascii="宋体" w:hAnsi="宋体" w:hint="eastAsia"/>
                <w:b/>
                <w:sz w:val="24"/>
                <w:szCs w:val="24"/>
              </w:rPr>
              <w:t>公司产能利用率及</w:t>
            </w:r>
            <w:r w:rsidR="00376655">
              <w:rPr>
                <w:rFonts w:ascii="宋体" w:hAnsi="宋体" w:hint="eastAsia"/>
                <w:b/>
                <w:sz w:val="24"/>
                <w:szCs w:val="24"/>
              </w:rPr>
              <w:t>封测价格</w:t>
            </w:r>
            <w:r w:rsidR="00C4435A">
              <w:rPr>
                <w:rFonts w:ascii="宋体" w:hAnsi="宋体" w:hint="eastAsia"/>
                <w:b/>
                <w:sz w:val="24"/>
                <w:szCs w:val="24"/>
              </w:rPr>
              <w:t>的展望</w:t>
            </w:r>
            <w:r w:rsidR="00376655">
              <w:rPr>
                <w:rFonts w:ascii="宋体" w:hAnsi="宋体" w:hint="eastAsia"/>
                <w:b/>
                <w:sz w:val="24"/>
                <w:szCs w:val="24"/>
              </w:rPr>
              <w:t>？</w:t>
            </w:r>
          </w:p>
          <w:p w14:paraId="60570774" w14:textId="3847FF16" w:rsidR="00376655" w:rsidRPr="00376655" w:rsidRDefault="00EB77D3" w:rsidP="005E5C92">
            <w:pPr>
              <w:pStyle w:val="Style6"/>
              <w:spacing w:line="400" w:lineRule="exact"/>
              <w:ind w:firstLine="480"/>
              <w:rPr>
                <w:rFonts w:ascii="宋体" w:hAnsi="宋体"/>
                <w:sz w:val="24"/>
                <w:szCs w:val="24"/>
              </w:rPr>
            </w:pPr>
            <w:r w:rsidRPr="00EB77D3">
              <w:rPr>
                <w:rFonts w:ascii="宋体" w:hAnsi="宋体" w:hint="eastAsia"/>
                <w:sz w:val="24"/>
                <w:szCs w:val="24"/>
              </w:rPr>
              <w:t>答：</w:t>
            </w:r>
            <w:r w:rsidR="00A26AE8" w:rsidRPr="00A26AE8">
              <w:rPr>
                <w:rFonts w:ascii="宋体" w:hAnsi="宋体" w:hint="eastAsia"/>
                <w:sz w:val="24"/>
                <w:szCs w:val="24"/>
              </w:rPr>
              <w:t>第三季度逐渐进入客户旺季备货期，</w:t>
            </w:r>
            <w:r w:rsidR="00C4435A">
              <w:rPr>
                <w:rFonts w:ascii="宋体" w:hAnsi="宋体" w:hint="eastAsia"/>
                <w:sz w:val="24"/>
                <w:szCs w:val="24"/>
              </w:rPr>
              <w:t>预计产能利用率</w:t>
            </w:r>
            <w:r w:rsidR="00422A6C" w:rsidRPr="00422A6C">
              <w:rPr>
                <w:rFonts w:ascii="宋体" w:hAnsi="宋体" w:hint="eastAsia"/>
                <w:sz w:val="24"/>
                <w:szCs w:val="24"/>
              </w:rPr>
              <w:t>将呈现一个环比上升的态势。</w:t>
            </w:r>
            <w:r w:rsidR="00376655" w:rsidRPr="00376655">
              <w:rPr>
                <w:rFonts w:ascii="宋体" w:hAnsi="宋体" w:hint="eastAsia"/>
                <w:sz w:val="24"/>
                <w:szCs w:val="24"/>
              </w:rPr>
              <w:t>今年以来价格承压有所减弱，公司保持随行就市的价格策略。上半年针对国际大宗商品价格上涨，原材料出现价格上涨趋势，公司首先主动消化吸收部分成本、承担涨价的压力，以保持供应链、产业链</w:t>
            </w:r>
            <w:r w:rsidR="00376655">
              <w:rPr>
                <w:rFonts w:ascii="宋体" w:hAnsi="宋体" w:hint="eastAsia"/>
                <w:sz w:val="24"/>
                <w:szCs w:val="24"/>
              </w:rPr>
              <w:t>生态稳定，体现公司在整个产业链的责任担当；同时为保障经营稳健，已</w:t>
            </w:r>
            <w:r w:rsidR="00376655" w:rsidRPr="00376655">
              <w:rPr>
                <w:rFonts w:ascii="宋体" w:hAnsi="宋体" w:hint="eastAsia"/>
                <w:sz w:val="24"/>
                <w:szCs w:val="24"/>
              </w:rPr>
              <w:t>逐步启动分批分类价格调整机制，实现大宗商品的联动报价机制将部分成本压力合理传导。</w:t>
            </w:r>
          </w:p>
          <w:p w14:paraId="693A459F" w14:textId="6F2CDB38" w:rsidR="000719BA" w:rsidRPr="00EB77D3" w:rsidRDefault="00376655" w:rsidP="005E5C92">
            <w:pPr>
              <w:pStyle w:val="Style6"/>
              <w:spacing w:line="400" w:lineRule="exact"/>
              <w:ind w:firstLine="480"/>
              <w:rPr>
                <w:rFonts w:ascii="宋体" w:hAnsi="宋体"/>
                <w:sz w:val="24"/>
                <w:szCs w:val="24"/>
              </w:rPr>
            </w:pPr>
            <w:r w:rsidRPr="00376655">
              <w:rPr>
                <w:rFonts w:ascii="宋体" w:hAnsi="宋体" w:hint="eastAsia"/>
                <w:sz w:val="24"/>
                <w:szCs w:val="24"/>
              </w:rPr>
              <w:t>随着产能利用率提升，公司将针对性地做好服务定价及产品结构优化工作，优先聚焦高毛利产品进行产能分配，提升单位产出利润率。</w:t>
            </w:r>
          </w:p>
          <w:p w14:paraId="679A734B" w14:textId="29ECDE46" w:rsidR="00667BB0" w:rsidRPr="00B66D6D" w:rsidRDefault="00667BB0" w:rsidP="005E5C92">
            <w:pPr>
              <w:pStyle w:val="Style6"/>
              <w:spacing w:line="400" w:lineRule="exact"/>
              <w:ind w:firstLine="480"/>
              <w:rPr>
                <w:rFonts w:ascii="宋体" w:hAnsi="宋体"/>
                <w:bCs/>
                <w:iCs/>
                <w:color w:val="000000"/>
                <w:sz w:val="24"/>
              </w:rPr>
            </w:pPr>
          </w:p>
          <w:p w14:paraId="7AE55C90" w14:textId="03816045" w:rsidR="00376655" w:rsidRDefault="00376655" w:rsidP="005E5C92">
            <w:pPr>
              <w:pStyle w:val="Style6"/>
              <w:spacing w:line="400" w:lineRule="exact"/>
              <w:ind w:firstLine="482"/>
              <w:rPr>
                <w:rFonts w:ascii="宋体" w:hAnsi="宋体"/>
                <w:b/>
                <w:sz w:val="24"/>
                <w:szCs w:val="24"/>
              </w:rPr>
            </w:pPr>
            <w:r>
              <w:rPr>
                <w:rFonts w:ascii="宋体" w:hAnsi="宋体" w:hint="eastAsia"/>
                <w:b/>
                <w:sz w:val="24"/>
                <w:szCs w:val="24"/>
              </w:rPr>
              <w:t>问题</w:t>
            </w:r>
            <w:r w:rsidR="00A26AE8">
              <w:rPr>
                <w:rFonts w:ascii="宋体" w:hAnsi="宋体" w:hint="eastAsia"/>
                <w:b/>
                <w:sz w:val="24"/>
                <w:szCs w:val="24"/>
              </w:rPr>
              <w:t>五</w:t>
            </w:r>
            <w:r>
              <w:rPr>
                <w:rFonts w:ascii="宋体" w:hAnsi="宋体" w:hint="eastAsia"/>
                <w:b/>
                <w:sz w:val="24"/>
                <w:szCs w:val="24"/>
              </w:rPr>
              <w:t>：公司在存储业务的布局，上半年晟碟半导体的运营情况？</w:t>
            </w:r>
          </w:p>
          <w:p w14:paraId="2E84DF97" w14:textId="525B9F33" w:rsidR="00FB22C8" w:rsidRDefault="00376655" w:rsidP="005E5C92">
            <w:pPr>
              <w:pStyle w:val="Style6"/>
              <w:spacing w:line="400" w:lineRule="exact"/>
              <w:ind w:firstLine="480"/>
              <w:rPr>
                <w:rFonts w:ascii="宋体" w:hAnsi="宋体"/>
                <w:sz w:val="24"/>
                <w:szCs w:val="24"/>
              </w:rPr>
            </w:pPr>
            <w:r w:rsidRPr="00EB77D3">
              <w:rPr>
                <w:rFonts w:ascii="宋体" w:hAnsi="宋体" w:hint="eastAsia"/>
                <w:sz w:val="24"/>
                <w:szCs w:val="24"/>
              </w:rPr>
              <w:t>答：</w:t>
            </w:r>
            <w:r w:rsidR="00FB22C8" w:rsidRPr="00FB22C8">
              <w:rPr>
                <w:rFonts w:ascii="宋体" w:hAnsi="宋体" w:hint="eastAsia"/>
                <w:sz w:val="24"/>
                <w:szCs w:val="24"/>
              </w:rPr>
              <w:t>公司的封测服务覆盖DRAM、Flash等各种存储芯片产品，拥有20多年存储封装量产经验，存储相关封测技术处于行业领先的地位。公司于去年收购的晟碟半导体是全球规模较大的闪存存储产品封装测试工厂，在收购前为出售方母公司Sandisk（闪迪）内部两大后道封装测试基地之一，主要从事先进闪存存储产品的封装</w:t>
            </w:r>
            <w:r w:rsidR="00FB22C8" w:rsidRPr="00FB22C8">
              <w:rPr>
                <w:rFonts w:ascii="宋体" w:hAnsi="宋体" w:hint="eastAsia"/>
                <w:sz w:val="24"/>
                <w:szCs w:val="24"/>
              </w:rPr>
              <w:lastRenderedPageBreak/>
              <w:t>测试，产品广泛应用于各大领域。并购后，公司与闪迪分别持股80/20并成立合资公司，并与客户构建了更紧密的战略合作关系，闪迪及其关联方将在约定期间内持续作为晟碟半导体的主要或唯一客户。2025年上半年晟碟半导体实现收入16.2亿元。</w:t>
            </w:r>
          </w:p>
          <w:p w14:paraId="677126AB" w14:textId="77777777" w:rsidR="00376655" w:rsidRDefault="00376655" w:rsidP="005E5C92">
            <w:pPr>
              <w:pStyle w:val="Style6"/>
              <w:spacing w:line="400" w:lineRule="exact"/>
              <w:ind w:firstLine="480"/>
              <w:rPr>
                <w:rFonts w:ascii="宋体" w:hAnsi="宋体"/>
                <w:bCs/>
                <w:iCs/>
                <w:color w:val="000000"/>
                <w:sz w:val="24"/>
              </w:rPr>
            </w:pPr>
          </w:p>
          <w:p w14:paraId="0E286B08" w14:textId="1FF744D1" w:rsidR="00376655" w:rsidRDefault="00376655" w:rsidP="005E5C92">
            <w:pPr>
              <w:pStyle w:val="Style6"/>
              <w:spacing w:line="400" w:lineRule="exact"/>
              <w:ind w:firstLine="482"/>
              <w:rPr>
                <w:rFonts w:ascii="宋体" w:hAnsi="宋体"/>
                <w:b/>
                <w:sz w:val="24"/>
                <w:szCs w:val="24"/>
              </w:rPr>
            </w:pPr>
            <w:r>
              <w:rPr>
                <w:rFonts w:ascii="宋体" w:hAnsi="宋体" w:hint="eastAsia"/>
                <w:b/>
                <w:sz w:val="24"/>
                <w:szCs w:val="24"/>
              </w:rPr>
              <w:t>问题</w:t>
            </w:r>
            <w:r w:rsidR="00A26AE8">
              <w:rPr>
                <w:rFonts w:ascii="宋体" w:hAnsi="宋体" w:hint="eastAsia"/>
                <w:b/>
                <w:sz w:val="24"/>
                <w:szCs w:val="24"/>
              </w:rPr>
              <w:t>六</w:t>
            </w:r>
            <w:r>
              <w:rPr>
                <w:rFonts w:ascii="宋体" w:hAnsi="宋体" w:hint="eastAsia"/>
                <w:b/>
                <w:sz w:val="24"/>
                <w:szCs w:val="24"/>
              </w:rPr>
              <w:t>：公司在先进封装的布局情况？</w:t>
            </w:r>
          </w:p>
          <w:p w14:paraId="790ADB87" w14:textId="45CEF09E" w:rsidR="00376655" w:rsidRDefault="00376655" w:rsidP="005E5C92">
            <w:pPr>
              <w:pStyle w:val="Style6"/>
              <w:spacing w:line="400" w:lineRule="exact"/>
              <w:ind w:firstLine="480"/>
              <w:rPr>
                <w:rFonts w:ascii="宋体" w:hAnsi="宋体"/>
                <w:sz w:val="24"/>
                <w:szCs w:val="24"/>
              </w:rPr>
            </w:pPr>
            <w:r w:rsidRPr="00EB77D3">
              <w:rPr>
                <w:rFonts w:ascii="宋体" w:hAnsi="宋体" w:hint="eastAsia"/>
                <w:sz w:val="24"/>
                <w:szCs w:val="24"/>
              </w:rPr>
              <w:t>答：</w:t>
            </w:r>
            <w:r w:rsidR="00BF5C08" w:rsidRPr="00BF5C08">
              <w:rPr>
                <w:rFonts w:ascii="宋体" w:hAnsi="宋体" w:hint="eastAsia"/>
                <w:sz w:val="24"/>
                <w:szCs w:val="24"/>
              </w:rPr>
              <w:t>长电科技依托深厚的技术积累与丰富的量产经验，与国际领先企业保持技术同步发展。</w:t>
            </w:r>
            <w:r>
              <w:rPr>
                <w:rFonts w:ascii="宋体" w:hAnsi="宋体" w:hint="eastAsia"/>
                <w:sz w:val="24"/>
                <w:szCs w:val="24"/>
              </w:rPr>
              <w:t>公司持续加大先进封装领域的</w:t>
            </w:r>
            <w:r w:rsidR="00DB30F8">
              <w:rPr>
                <w:rFonts w:ascii="宋体" w:hAnsi="宋体" w:hint="eastAsia"/>
                <w:sz w:val="24"/>
                <w:szCs w:val="24"/>
              </w:rPr>
              <w:t>投入</w:t>
            </w:r>
            <w:r>
              <w:rPr>
                <w:rFonts w:ascii="宋体" w:hAnsi="宋体" w:hint="eastAsia"/>
                <w:sz w:val="24"/>
                <w:szCs w:val="24"/>
              </w:rPr>
              <w:t>，全面覆盖主流技术路线，通过不断优化技术布局与工艺，</w:t>
            </w:r>
            <w:r w:rsidRPr="00376655">
              <w:rPr>
                <w:rFonts w:ascii="宋体" w:hAnsi="宋体" w:hint="eastAsia"/>
                <w:sz w:val="24"/>
                <w:szCs w:val="24"/>
              </w:rPr>
              <w:t>已构建多层次的封装与测试能力，</w:t>
            </w:r>
            <w:r>
              <w:rPr>
                <w:rFonts w:ascii="宋体" w:hAnsi="宋体" w:hint="eastAsia"/>
                <w:sz w:val="24"/>
                <w:szCs w:val="24"/>
              </w:rPr>
              <w:t>可</w:t>
            </w:r>
            <w:r w:rsidRPr="00376655">
              <w:rPr>
                <w:rFonts w:ascii="宋体" w:hAnsi="宋体" w:hint="eastAsia"/>
                <w:sz w:val="24"/>
                <w:szCs w:val="24"/>
              </w:rPr>
              <w:t>满足多个应用领域。</w:t>
            </w:r>
          </w:p>
          <w:p w14:paraId="269F7165" w14:textId="77777777" w:rsidR="0065213B" w:rsidRPr="00E86ADA" w:rsidRDefault="0065213B" w:rsidP="005E5C92">
            <w:pPr>
              <w:pStyle w:val="Style6"/>
              <w:spacing w:line="400" w:lineRule="exact"/>
              <w:ind w:firstLine="480"/>
              <w:rPr>
                <w:rFonts w:ascii="宋体" w:hAnsi="宋体"/>
                <w:sz w:val="24"/>
                <w:szCs w:val="24"/>
              </w:rPr>
            </w:pPr>
          </w:p>
          <w:p w14:paraId="0A11BF5A" w14:textId="2EF1AD3C" w:rsidR="005332A9" w:rsidRDefault="00376655" w:rsidP="005E5C92">
            <w:pPr>
              <w:pStyle w:val="Style6"/>
              <w:spacing w:line="400" w:lineRule="exact"/>
              <w:ind w:firstLine="482"/>
              <w:rPr>
                <w:rFonts w:ascii="宋体" w:hAnsi="宋体"/>
                <w:b/>
                <w:sz w:val="24"/>
                <w:szCs w:val="24"/>
              </w:rPr>
            </w:pPr>
            <w:r>
              <w:rPr>
                <w:rFonts w:ascii="宋体" w:hAnsi="宋体" w:hint="eastAsia"/>
                <w:b/>
                <w:sz w:val="24"/>
                <w:szCs w:val="24"/>
              </w:rPr>
              <w:t>问题</w:t>
            </w:r>
            <w:r w:rsidR="00A26AE8">
              <w:rPr>
                <w:rFonts w:ascii="宋体" w:hAnsi="宋体" w:hint="eastAsia"/>
                <w:b/>
                <w:sz w:val="24"/>
                <w:szCs w:val="24"/>
              </w:rPr>
              <w:t>七</w:t>
            </w:r>
            <w:r>
              <w:rPr>
                <w:rFonts w:ascii="宋体" w:hAnsi="宋体" w:hint="eastAsia"/>
                <w:b/>
                <w:sz w:val="24"/>
                <w:szCs w:val="24"/>
              </w:rPr>
              <w:t>：</w:t>
            </w:r>
            <w:r w:rsidRPr="00376655">
              <w:rPr>
                <w:rFonts w:ascii="宋体" w:hAnsi="宋体" w:hint="eastAsia"/>
                <w:b/>
                <w:sz w:val="24"/>
                <w:szCs w:val="24"/>
              </w:rPr>
              <w:t>请问公司</w:t>
            </w:r>
            <w:r w:rsidR="00771B87">
              <w:rPr>
                <w:rFonts w:ascii="宋体" w:hAnsi="宋体" w:hint="eastAsia"/>
                <w:b/>
                <w:sz w:val="24"/>
                <w:szCs w:val="24"/>
              </w:rPr>
              <w:t>汽车电子</w:t>
            </w:r>
            <w:r w:rsidR="00771B87" w:rsidRPr="00771B87">
              <w:rPr>
                <w:rFonts w:ascii="宋体" w:hAnsi="宋体" w:hint="eastAsia"/>
                <w:b/>
                <w:sz w:val="24"/>
                <w:szCs w:val="24"/>
              </w:rPr>
              <w:t>上海</w:t>
            </w:r>
            <w:r w:rsidR="00771B87">
              <w:rPr>
                <w:rFonts w:ascii="宋体" w:hAnsi="宋体" w:hint="eastAsia"/>
                <w:b/>
                <w:sz w:val="24"/>
                <w:szCs w:val="24"/>
              </w:rPr>
              <w:t>临港</w:t>
            </w:r>
            <w:r w:rsidR="00771B87" w:rsidRPr="00771B87">
              <w:rPr>
                <w:rFonts w:ascii="宋体" w:hAnsi="宋体" w:hint="eastAsia"/>
                <w:b/>
                <w:sz w:val="24"/>
                <w:szCs w:val="24"/>
              </w:rPr>
              <w:t>封测基地投产进度</w:t>
            </w:r>
            <w:r w:rsidR="00771B87">
              <w:rPr>
                <w:rFonts w:ascii="宋体" w:hAnsi="宋体" w:hint="eastAsia"/>
                <w:b/>
                <w:sz w:val="24"/>
                <w:szCs w:val="24"/>
              </w:rPr>
              <w:t>以及未来收入展望</w:t>
            </w:r>
            <w:r w:rsidR="00771B87" w:rsidRPr="00771B87">
              <w:rPr>
                <w:rFonts w:ascii="宋体" w:hAnsi="宋体" w:hint="eastAsia"/>
                <w:b/>
                <w:sz w:val="24"/>
                <w:szCs w:val="24"/>
              </w:rPr>
              <w:t>？</w:t>
            </w:r>
          </w:p>
          <w:p w14:paraId="2FCA2A48" w14:textId="0F787C77" w:rsidR="00771B87" w:rsidRPr="0065213B" w:rsidRDefault="00376655" w:rsidP="005E5C92">
            <w:pPr>
              <w:pStyle w:val="Style6"/>
              <w:spacing w:line="400" w:lineRule="exact"/>
              <w:ind w:firstLine="480"/>
              <w:rPr>
                <w:rFonts w:ascii="宋体" w:hAnsi="宋体"/>
                <w:sz w:val="24"/>
                <w:szCs w:val="24"/>
              </w:rPr>
            </w:pPr>
            <w:r w:rsidRPr="00EB77D3">
              <w:rPr>
                <w:rFonts w:ascii="宋体" w:hAnsi="宋体" w:hint="eastAsia"/>
                <w:sz w:val="24"/>
                <w:szCs w:val="24"/>
              </w:rPr>
              <w:t>答：</w:t>
            </w:r>
            <w:r w:rsidR="00771B87" w:rsidRPr="00771B87">
              <w:rPr>
                <w:rFonts w:ascii="宋体" w:hAnsi="宋体" w:hint="eastAsia"/>
                <w:sz w:val="24"/>
                <w:szCs w:val="24"/>
              </w:rPr>
              <w:t>目前</w:t>
            </w:r>
            <w:r w:rsidR="00E86ADA">
              <w:rPr>
                <w:rFonts w:ascii="宋体" w:hAnsi="宋体" w:hint="eastAsia"/>
                <w:sz w:val="24"/>
                <w:szCs w:val="24"/>
              </w:rPr>
              <w:t>上海临港</w:t>
            </w:r>
            <w:r w:rsidR="00771B87" w:rsidRPr="00771B87">
              <w:rPr>
                <w:rFonts w:ascii="宋体" w:hAnsi="宋体" w:hint="eastAsia"/>
                <w:sz w:val="24"/>
                <w:szCs w:val="24"/>
              </w:rPr>
              <w:t>工厂主体建设已完成并进入内部装修阶段，洁净室收尾工作即将完成，正有序推进机器设备搬入，计划三季度启动设备安装调试，预计年底进入客户量产阶段。</w:t>
            </w:r>
            <w:r w:rsidR="00AC1784">
              <w:rPr>
                <w:rFonts w:ascii="宋体" w:hAnsi="宋体" w:hint="eastAsia"/>
                <w:sz w:val="24"/>
                <w:szCs w:val="24"/>
              </w:rPr>
              <w:t>在2</w:t>
            </w:r>
            <w:r w:rsidR="00AC1784">
              <w:rPr>
                <w:rFonts w:ascii="宋体" w:hAnsi="宋体"/>
                <w:sz w:val="24"/>
                <w:szCs w:val="24"/>
              </w:rPr>
              <w:t>020-2024</w:t>
            </w:r>
            <w:r w:rsidR="00AC1784">
              <w:rPr>
                <w:rFonts w:ascii="宋体" w:hAnsi="宋体" w:hint="eastAsia"/>
                <w:sz w:val="24"/>
                <w:szCs w:val="24"/>
              </w:rPr>
              <w:t>年，公司来自汽车业务收入实现超过5</w:t>
            </w:r>
            <w:r w:rsidR="00AC1784">
              <w:rPr>
                <w:rFonts w:ascii="宋体" w:hAnsi="宋体"/>
                <w:sz w:val="24"/>
                <w:szCs w:val="24"/>
              </w:rPr>
              <w:t>0%</w:t>
            </w:r>
            <w:r w:rsidR="00AC1784">
              <w:rPr>
                <w:rFonts w:ascii="宋体" w:hAnsi="宋体" w:hint="eastAsia"/>
                <w:sz w:val="24"/>
                <w:szCs w:val="24"/>
              </w:rPr>
              <w:t>的复合增长率，今年上半年增速继续超越整个市场，同比增长</w:t>
            </w:r>
            <w:r w:rsidR="00AC1784">
              <w:rPr>
                <w:rFonts w:ascii="宋体" w:hAnsi="宋体"/>
                <w:sz w:val="24"/>
                <w:szCs w:val="24"/>
              </w:rPr>
              <w:t>34%</w:t>
            </w:r>
            <w:r w:rsidR="00AC1784">
              <w:rPr>
                <w:rFonts w:ascii="宋体" w:hAnsi="宋体" w:hint="eastAsia"/>
                <w:sz w:val="24"/>
                <w:szCs w:val="24"/>
              </w:rPr>
              <w:t>，占整体业务收入占比</w:t>
            </w:r>
            <w:r w:rsidR="00AC1784">
              <w:rPr>
                <w:rFonts w:ascii="宋体" w:hAnsi="宋体"/>
                <w:sz w:val="24"/>
                <w:szCs w:val="24"/>
              </w:rPr>
              <w:t>9%</w:t>
            </w:r>
            <w:r w:rsidR="00AC1784" w:rsidRPr="00376655">
              <w:rPr>
                <w:rFonts w:ascii="宋体" w:hAnsi="宋体" w:hint="eastAsia"/>
                <w:sz w:val="24"/>
                <w:szCs w:val="24"/>
              </w:rPr>
              <w:t>；未来将</w:t>
            </w:r>
            <w:r w:rsidR="00AC1784" w:rsidRPr="00771B87">
              <w:rPr>
                <w:rFonts w:ascii="宋体" w:hAnsi="宋体" w:hint="eastAsia"/>
                <w:sz w:val="24"/>
                <w:szCs w:val="24"/>
              </w:rPr>
              <w:t>持续深化与国内外头部客户的合作，配合客户完善属地化配套产能的搭</w:t>
            </w:r>
            <w:r w:rsidR="00E86ADA">
              <w:rPr>
                <w:rFonts w:ascii="宋体" w:hAnsi="宋体" w:hint="eastAsia"/>
                <w:sz w:val="24"/>
                <w:szCs w:val="24"/>
              </w:rPr>
              <w:t>建，满足海外客户面向中国市场，和国内客户快速放量车规芯片的需求，</w:t>
            </w:r>
            <w:r w:rsidR="00AC1784" w:rsidRPr="00376655">
              <w:rPr>
                <w:rFonts w:ascii="宋体" w:hAnsi="宋体" w:hint="eastAsia"/>
                <w:sz w:val="24"/>
                <w:szCs w:val="24"/>
              </w:rPr>
              <w:t>持续提升汽车业务收入占比。</w:t>
            </w:r>
          </w:p>
        </w:tc>
      </w:tr>
      <w:tr w:rsidR="00667BB0" w14:paraId="3479D558" w14:textId="77777777" w:rsidTr="005E5C92">
        <w:tc>
          <w:tcPr>
            <w:tcW w:w="1668" w:type="dxa"/>
            <w:tcBorders>
              <w:top w:val="single" w:sz="4" w:space="0" w:color="auto"/>
              <w:left w:val="single" w:sz="4" w:space="0" w:color="auto"/>
              <w:bottom w:val="single" w:sz="4" w:space="0" w:color="auto"/>
              <w:right w:val="single" w:sz="4" w:space="0" w:color="auto"/>
            </w:tcBorders>
            <w:vAlign w:val="center"/>
          </w:tcPr>
          <w:p w14:paraId="2FBF5D2B" w14:textId="77777777" w:rsidR="00092000" w:rsidRDefault="000905F9">
            <w:pPr>
              <w:spacing w:line="420" w:lineRule="exact"/>
              <w:rPr>
                <w:rFonts w:hAnsi="宋体"/>
                <w:bCs/>
                <w:iCs/>
                <w:color w:val="000000"/>
                <w:kern w:val="0"/>
                <w:sz w:val="24"/>
              </w:rPr>
            </w:pPr>
            <w:r>
              <w:rPr>
                <w:rFonts w:hAnsi="宋体"/>
                <w:bCs/>
                <w:iCs/>
                <w:color w:val="000000"/>
                <w:kern w:val="0"/>
                <w:sz w:val="24"/>
              </w:rPr>
              <w:lastRenderedPageBreak/>
              <w:t>附件清单</w:t>
            </w:r>
          </w:p>
          <w:p w14:paraId="1CC2EDA8" w14:textId="73F24148" w:rsidR="00667BB0" w:rsidRDefault="000905F9">
            <w:pPr>
              <w:spacing w:line="420" w:lineRule="exact"/>
              <w:rPr>
                <w:bCs/>
                <w:iCs/>
                <w:color w:val="000000"/>
                <w:kern w:val="0"/>
                <w:sz w:val="24"/>
              </w:rPr>
            </w:pPr>
            <w:r>
              <w:rPr>
                <w:rFonts w:hAnsi="宋体"/>
                <w:bCs/>
                <w:iCs/>
                <w:color w:val="000000"/>
                <w:kern w:val="0"/>
                <w:sz w:val="24"/>
              </w:rPr>
              <w:t>（如有）</w:t>
            </w:r>
          </w:p>
        </w:tc>
        <w:tc>
          <w:tcPr>
            <w:tcW w:w="7087" w:type="dxa"/>
            <w:tcBorders>
              <w:top w:val="single" w:sz="4" w:space="0" w:color="auto"/>
              <w:left w:val="single" w:sz="4" w:space="0" w:color="auto"/>
              <w:bottom w:val="single" w:sz="4" w:space="0" w:color="auto"/>
              <w:right w:val="single" w:sz="4" w:space="0" w:color="auto"/>
            </w:tcBorders>
            <w:vAlign w:val="center"/>
          </w:tcPr>
          <w:p w14:paraId="12DED20D" w14:textId="7EE2D9D9" w:rsidR="00667BB0" w:rsidRDefault="00EB77D3">
            <w:pPr>
              <w:spacing w:line="420" w:lineRule="exact"/>
              <w:rPr>
                <w:bCs/>
                <w:iCs/>
                <w:color w:val="000000"/>
                <w:sz w:val="24"/>
              </w:rPr>
            </w:pPr>
            <w:r>
              <w:rPr>
                <w:rFonts w:hint="eastAsia"/>
                <w:bCs/>
                <w:iCs/>
                <w:color w:val="000000"/>
                <w:sz w:val="24"/>
              </w:rPr>
              <w:t>无</w:t>
            </w:r>
          </w:p>
        </w:tc>
      </w:tr>
    </w:tbl>
    <w:p w14:paraId="719573E4" w14:textId="77777777" w:rsidR="00667BB0" w:rsidRDefault="00667BB0" w:rsidP="008E743C"/>
    <w:sectPr w:rsidR="00667BB0">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1DC44" w14:textId="77777777" w:rsidR="00F95760" w:rsidRDefault="00F95760">
      <w:r>
        <w:separator/>
      </w:r>
    </w:p>
  </w:endnote>
  <w:endnote w:type="continuationSeparator" w:id="0">
    <w:p w14:paraId="75970987" w14:textId="77777777" w:rsidR="00F95760" w:rsidRDefault="00F9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75799"/>
      <w:docPartObj>
        <w:docPartGallery w:val="Page Numbers (Bottom of Page)"/>
        <w:docPartUnique/>
      </w:docPartObj>
    </w:sdtPr>
    <w:sdtEndPr/>
    <w:sdtContent>
      <w:p w14:paraId="00BEF04D" w14:textId="7D697450" w:rsidR="000719BA" w:rsidRDefault="000719BA">
        <w:pPr>
          <w:pStyle w:val="a3"/>
          <w:jc w:val="center"/>
        </w:pPr>
        <w:r>
          <w:fldChar w:fldCharType="begin"/>
        </w:r>
        <w:r>
          <w:instrText>PAGE   \* MERGEFORMAT</w:instrText>
        </w:r>
        <w:r>
          <w:fldChar w:fldCharType="separate"/>
        </w:r>
        <w:r w:rsidR="005E5C92" w:rsidRPr="005E5C92">
          <w:rPr>
            <w:noProof/>
            <w:lang w:val="zh-CN"/>
          </w:rPr>
          <w:t>1</w:t>
        </w:r>
        <w:r>
          <w:fldChar w:fldCharType="end"/>
        </w:r>
      </w:p>
    </w:sdtContent>
  </w:sdt>
  <w:p w14:paraId="2AC4D65A" w14:textId="77777777" w:rsidR="00667BB0" w:rsidRDefault="00667BB0">
    <w:pPr>
      <w:pStyle w:val="a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E2066" w14:textId="77777777" w:rsidR="00F95760" w:rsidRDefault="00F95760">
      <w:r>
        <w:separator/>
      </w:r>
    </w:p>
  </w:footnote>
  <w:footnote w:type="continuationSeparator" w:id="0">
    <w:p w14:paraId="01D397C0" w14:textId="77777777" w:rsidR="00F95760" w:rsidRDefault="00F957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669ED" w14:textId="77777777" w:rsidR="00667BB0" w:rsidRDefault="00667BB0">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363B5"/>
    <w:rsid w:val="000375D7"/>
    <w:rsid w:val="00043015"/>
    <w:rsid w:val="00044660"/>
    <w:rsid w:val="00046DDE"/>
    <w:rsid w:val="00047EB9"/>
    <w:rsid w:val="000539CC"/>
    <w:rsid w:val="00060A74"/>
    <w:rsid w:val="00067110"/>
    <w:rsid w:val="000719BA"/>
    <w:rsid w:val="0008021F"/>
    <w:rsid w:val="000905F9"/>
    <w:rsid w:val="00092000"/>
    <w:rsid w:val="0009298A"/>
    <w:rsid w:val="000A2808"/>
    <w:rsid w:val="000A3BAC"/>
    <w:rsid w:val="000B2709"/>
    <w:rsid w:val="000C26FD"/>
    <w:rsid w:val="000C2D85"/>
    <w:rsid w:val="000C55FC"/>
    <w:rsid w:val="000E5700"/>
    <w:rsid w:val="000F0C4B"/>
    <w:rsid w:val="000F0E22"/>
    <w:rsid w:val="00105A04"/>
    <w:rsid w:val="001169A9"/>
    <w:rsid w:val="00125EB2"/>
    <w:rsid w:val="00142A4C"/>
    <w:rsid w:val="00144279"/>
    <w:rsid w:val="001452FF"/>
    <w:rsid w:val="00153C8B"/>
    <w:rsid w:val="0016617A"/>
    <w:rsid w:val="00167E99"/>
    <w:rsid w:val="001975AB"/>
    <w:rsid w:val="001A00F5"/>
    <w:rsid w:val="001A1F65"/>
    <w:rsid w:val="001A5CE9"/>
    <w:rsid w:val="001C50AD"/>
    <w:rsid w:val="001D22EE"/>
    <w:rsid w:val="001D4C89"/>
    <w:rsid w:val="001E1838"/>
    <w:rsid w:val="001E3145"/>
    <w:rsid w:val="001E6509"/>
    <w:rsid w:val="001E7968"/>
    <w:rsid w:val="00217085"/>
    <w:rsid w:val="0022180A"/>
    <w:rsid w:val="00223ABC"/>
    <w:rsid w:val="002241B9"/>
    <w:rsid w:val="002274D9"/>
    <w:rsid w:val="002277BC"/>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6655"/>
    <w:rsid w:val="00377D8F"/>
    <w:rsid w:val="00383679"/>
    <w:rsid w:val="003A1E68"/>
    <w:rsid w:val="003B0122"/>
    <w:rsid w:val="003B0BE5"/>
    <w:rsid w:val="003D18F1"/>
    <w:rsid w:val="003E001E"/>
    <w:rsid w:val="003F11E2"/>
    <w:rsid w:val="003F7C4D"/>
    <w:rsid w:val="0040075F"/>
    <w:rsid w:val="00403300"/>
    <w:rsid w:val="004118C0"/>
    <w:rsid w:val="00417A31"/>
    <w:rsid w:val="0042004B"/>
    <w:rsid w:val="0042157B"/>
    <w:rsid w:val="00422A6C"/>
    <w:rsid w:val="00433384"/>
    <w:rsid w:val="0043777D"/>
    <w:rsid w:val="0045767F"/>
    <w:rsid w:val="00463E9B"/>
    <w:rsid w:val="00467414"/>
    <w:rsid w:val="00473F30"/>
    <w:rsid w:val="00475D3B"/>
    <w:rsid w:val="0048591A"/>
    <w:rsid w:val="00486D86"/>
    <w:rsid w:val="0048721A"/>
    <w:rsid w:val="004A0BD5"/>
    <w:rsid w:val="004A1BBF"/>
    <w:rsid w:val="004A73E5"/>
    <w:rsid w:val="004C19BF"/>
    <w:rsid w:val="004C54F3"/>
    <w:rsid w:val="004D7640"/>
    <w:rsid w:val="004E1A9B"/>
    <w:rsid w:val="00500AB6"/>
    <w:rsid w:val="005155FB"/>
    <w:rsid w:val="00523907"/>
    <w:rsid w:val="005332A9"/>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C92"/>
    <w:rsid w:val="005E5F63"/>
    <w:rsid w:val="005E6BA1"/>
    <w:rsid w:val="005F614E"/>
    <w:rsid w:val="0060779A"/>
    <w:rsid w:val="00612395"/>
    <w:rsid w:val="00621334"/>
    <w:rsid w:val="00622F13"/>
    <w:rsid w:val="00625503"/>
    <w:rsid w:val="0062662D"/>
    <w:rsid w:val="00632E78"/>
    <w:rsid w:val="006344F1"/>
    <w:rsid w:val="00637186"/>
    <w:rsid w:val="00646DF4"/>
    <w:rsid w:val="00651DE6"/>
    <w:rsid w:val="0065213B"/>
    <w:rsid w:val="006523BB"/>
    <w:rsid w:val="0065347E"/>
    <w:rsid w:val="00654B49"/>
    <w:rsid w:val="00662505"/>
    <w:rsid w:val="0066674C"/>
    <w:rsid w:val="00667BB0"/>
    <w:rsid w:val="006760F7"/>
    <w:rsid w:val="006861C7"/>
    <w:rsid w:val="00686DDF"/>
    <w:rsid w:val="00697B12"/>
    <w:rsid w:val="006A55BB"/>
    <w:rsid w:val="006A7613"/>
    <w:rsid w:val="006B661A"/>
    <w:rsid w:val="006B7D00"/>
    <w:rsid w:val="006C6BC5"/>
    <w:rsid w:val="006D61A2"/>
    <w:rsid w:val="006E1DB4"/>
    <w:rsid w:val="00753DB6"/>
    <w:rsid w:val="00763847"/>
    <w:rsid w:val="007712ED"/>
    <w:rsid w:val="00771B87"/>
    <w:rsid w:val="00771FE3"/>
    <w:rsid w:val="00776BDE"/>
    <w:rsid w:val="00786870"/>
    <w:rsid w:val="00792237"/>
    <w:rsid w:val="0079272A"/>
    <w:rsid w:val="0079422D"/>
    <w:rsid w:val="007A1DA9"/>
    <w:rsid w:val="007B2252"/>
    <w:rsid w:val="007B79D9"/>
    <w:rsid w:val="007C67B1"/>
    <w:rsid w:val="007E354A"/>
    <w:rsid w:val="007E69C8"/>
    <w:rsid w:val="0080525B"/>
    <w:rsid w:val="008062C5"/>
    <w:rsid w:val="0080741A"/>
    <w:rsid w:val="00811F7B"/>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8E743C"/>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0738"/>
    <w:rsid w:val="009C7FAF"/>
    <w:rsid w:val="009D4199"/>
    <w:rsid w:val="009E5E6A"/>
    <w:rsid w:val="009F0DD5"/>
    <w:rsid w:val="009F1B95"/>
    <w:rsid w:val="009F6C05"/>
    <w:rsid w:val="00A13CB6"/>
    <w:rsid w:val="00A14A1A"/>
    <w:rsid w:val="00A22CDD"/>
    <w:rsid w:val="00A25AEE"/>
    <w:rsid w:val="00A26AE8"/>
    <w:rsid w:val="00A31EB1"/>
    <w:rsid w:val="00A33AEA"/>
    <w:rsid w:val="00A461CD"/>
    <w:rsid w:val="00A469C5"/>
    <w:rsid w:val="00A5317D"/>
    <w:rsid w:val="00A6284E"/>
    <w:rsid w:val="00A63E81"/>
    <w:rsid w:val="00A8775A"/>
    <w:rsid w:val="00A9100B"/>
    <w:rsid w:val="00AA4C98"/>
    <w:rsid w:val="00AA5998"/>
    <w:rsid w:val="00AB07E7"/>
    <w:rsid w:val="00AC1784"/>
    <w:rsid w:val="00AD1BA8"/>
    <w:rsid w:val="00B02A29"/>
    <w:rsid w:val="00B03522"/>
    <w:rsid w:val="00B04AD6"/>
    <w:rsid w:val="00B14CAA"/>
    <w:rsid w:val="00B257CE"/>
    <w:rsid w:val="00B4746C"/>
    <w:rsid w:val="00B65354"/>
    <w:rsid w:val="00B66D6D"/>
    <w:rsid w:val="00B71A0E"/>
    <w:rsid w:val="00B81765"/>
    <w:rsid w:val="00B832F5"/>
    <w:rsid w:val="00BA2FAB"/>
    <w:rsid w:val="00BB5E28"/>
    <w:rsid w:val="00BC763C"/>
    <w:rsid w:val="00BD15F3"/>
    <w:rsid w:val="00BD7986"/>
    <w:rsid w:val="00BD79D3"/>
    <w:rsid w:val="00BE5046"/>
    <w:rsid w:val="00BF5C08"/>
    <w:rsid w:val="00C04F82"/>
    <w:rsid w:val="00C15AC0"/>
    <w:rsid w:val="00C26030"/>
    <w:rsid w:val="00C41091"/>
    <w:rsid w:val="00C4435A"/>
    <w:rsid w:val="00C63056"/>
    <w:rsid w:val="00C661D1"/>
    <w:rsid w:val="00C775BA"/>
    <w:rsid w:val="00C85331"/>
    <w:rsid w:val="00C85A50"/>
    <w:rsid w:val="00C94D46"/>
    <w:rsid w:val="00CA443A"/>
    <w:rsid w:val="00CB2461"/>
    <w:rsid w:val="00CB37FD"/>
    <w:rsid w:val="00CB709B"/>
    <w:rsid w:val="00CC4D65"/>
    <w:rsid w:val="00CC61E7"/>
    <w:rsid w:val="00CD25AD"/>
    <w:rsid w:val="00CD3FFC"/>
    <w:rsid w:val="00CE7E5F"/>
    <w:rsid w:val="00CF1B90"/>
    <w:rsid w:val="00CF565C"/>
    <w:rsid w:val="00D016A3"/>
    <w:rsid w:val="00D077DB"/>
    <w:rsid w:val="00D512E3"/>
    <w:rsid w:val="00D602C9"/>
    <w:rsid w:val="00DA0DA5"/>
    <w:rsid w:val="00DA26A9"/>
    <w:rsid w:val="00DB01FF"/>
    <w:rsid w:val="00DB30F8"/>
    <w:rsid w:val="00DC7778"/>
    <w:rsid w:val="00DE7391"/>
    <w:rsid w:val="00DF2DB5"/>
    <w:rsid w:val="00DF6560"/>
    <w:rsid w:val="00E04CC0"/>
    <w:rsid w:val="00E136FF"/>
    <w:rsid w:val="00E32528"/>
    <w:rsid w:val="00E35F26"/>
    <w:rsid w:val="00E53165"/>
    <w:rsid w:val="00E61EF7"/>
    <w:rsid w:val="00E663B4"/>
    <w:rsid w:val="00E80CEB"/>
    <w:rsid w:val="00E83385"/>
    <w:rsid w:val="00E86ADA"/>
    <w:rsid w:val="00EA5103"/>
    <w:rsid w:val="00EA6FB9"/>
    <w:rsid w:val="00EB5E6A"/>
    <w:rsid w:val="00EB77D3"/>
    <w:rsid w:val="00EC2AD7"/>
    <w:rsid w:val="00ED0CFD"/>
    <w:rsid w:val="00ED7DE0"/>
    <w:rsid w:val="00EE7891"/>
    <w:rsid w:val="00EF49FE"/>
    <w:rsid w:val="00EF5341"/>
    <w:rsid w:val="00F04908"/>
    <w:rsid w:val="00F07C21"/>
    <w:rsid w:val="00F12EF6"/>
    <w:rsid w:val="00F21065"/>
    <w:rsid w:val="00F24CB4"/>
    <w:rsid w:val="00F43465"/>
    <w:rsid w:val="00F45475"/>
    <w:rsid w:val="00F64E72"/>
    <w:rsid w:val="00F70C7D"/>
    <w:rsid w:val="00F8640B"/>
    <w:rsid w:val="00F9272E"/>
    <w:rsid w:val="00F95760"/>
    <w:rsid w:val="00F97743"/>
    <w:rsid w:val="00FA6DAF"/>
    <w:rsid w:val="00FB22C8"/>
    <w:rsid w:val="00FC6884"/>
    <w:rsid w:val="00FE62F3"/>
    <w:rsid w:val="00FF71D2"/>
    <w:rsid w:val="013F75D8"/>
    <w:rsid w:val="0752596C"/>
    <w:rsid w:val="1B2418A5"/>
    <w:rsid w:val="1FBFC074"/>
    <w:rsid w:val="26FA5383"/>
    <w:rsid w:val="303B30DD"/>
    <w:rsid w:val="36FB9E1F"/>
    <w:rsid w:val="37F878A3"/>
    <w:rsid w:val="38504F55"/>
    <w:rsid w:val="3BFA3B96"/>
    <w:rsid w:val="3CEF3472"/>
    <w:rsid w:val="3EFF16E9"/>
    <w:rsid w:val="493C0699"/>
    <w:rsid w:val="4B5D096B"/>
    <w:rsid w:val="50E3009F"/>
    <w:rsid w:val="5C374E82"/>
    <w:rsid w:val="65F87963"/>
    <w:rsid w:val="76042071"/>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98408"/>
  <w15:docId w15:val="{2591A5F2-D927-4E35-96BF-6A96053A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 w:type="paragraph" w:styleId="a7">
    <w:name w:val="Balloon Text"/>
    <w:basedOn w:val="a"/>
    <w:link w:val="a8"/>
    <w:rsid w:val="00B66D6D"/>
    <w:rPr>
      <w:sz w:val="18"/>
      <w:szCs w:val="18"/>
    </w:rPr>
  </w:style>
  <w:style w:type="character" w:customStyle="1" w:styleId="a8">
    <w:name w:val="批注框文本 字符"/>
    <w:basedOn w:val="a0"/>
    <w:link w:val="a7"/>
    <w:rsid w:val="00B66D6D"/>
    <w:rPr>
      <w:kern w:val="2"/>
      <w:sz w:val="18"/>
      <w:szCs w:val="18"/>
    </w:rPr>
  </w:style>
  <w:style w:type="character" w:styleId="a9">
    <w:name w:val="annotation reference"/>
    <w:basedOn w:val="a0"/>
    <w:rsid w:val="008E743C"/>
    <w:rPr>
      <w:sz w:val="21"/>
      <w:szCs w:val="21"/>
    </w:rPr>
  </w:style>
  <w:style w:type="paragraph" w:styleId="aa">
    <w:name w:val="annotation text"/>
    <w:basedOn w:val="a"/>
    <w:link w:val="ab"/>
    <w:rsid w:val="008E743C"/>
    <w:pPr>
      <w:jc w:val="left"/>
    </w:pPr>
  </w:style>
  <w:style w:type="character" w:customStyle="1" w:styleId="ab">
    <w:name w:val="批注文字 字符"/>
    <w:basedOn w:val="a0"/>
    <w:link w:val="aa"/>
    <w:rsid w:val="008E743C"/>
    <w:rPr>
      <w:kern w:val="2"/>
      <w:sz w:val="21"/>
      <w:szCs w:val="24"/>
    </w:rPr>
  </w:style>
  <w:style w:type="paragraph" w:styleId="ac">
    <w:name w:val="annotation subject"/>
    <w:basedOn w:val="aa"/>
    <w:next w:val="aa"/>
    <w:link w:val="ad"/>
    <w:rsid w:val="008E743C"/>
    <w:rPr>
      <w:b/>
      <w:bCs/>
    </w:rPr>
  </w:style>
  <w:style w:type="character" w:customStyle="1" w:styleId="ad">
    <w:name w:val="批注主题 字符"/>
    <w:basedOn w:val="ab"/>
    <w:link w:val="ac"/>
    <w:rsid w:val="008E743C"/>
    <w:rPr>
      <w:b/>
      <w:bCs/>
      <w:kern w:val="2"/>
      <w:sz w:val="21"/>
      <w:szCs w:val="24"/>
    </w:rPr>
  </w:style>
  <w:style w:type="paragraph" w:styleId="ae">
    <w:name w:val="Revision"/>
    <w:hidden/>
    <w:uiPriority w:val="99"/>
    <w:semiHidden/>
    <w:rsid w:val="008E74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62232-3B2D-47EC-A0E6-0B53273A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502</Words>
  <Characters>2868</Characters>
  <Application>Microsoft Office Word</Application>
  <DocSecurity>0</DocSecurity>
  <Lines>23</Lines>
  <Paragraphs>6</Paragraphs>
  <ScaleCrop>false</ScaleCrop>
  <Company>微软中国</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Shi Min 石敏(JCET-Board Office)</cp:lastModifiedBy>
  <cp:revision>11</cp:revision>
  <cp:lastPrinted>2014-02-21T05:34:00Z</cp:lastPrinted>
  <dcterms:created xsi:type="dcterms:W3CDTF">2025-09-30T06:17:00Z</dcterms:created>
  <dcterms:modified xsi:type="dcterms:W3CDTF">2025-10-24T08:54:00Z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BA9FAD3C08C843BE8D76A7DFEB091A08_13</vt:lpwstr>
  </property>
  <property fmtid="{D5CDD505-2E9C-101B-9397-08002B2CF9AE}" pid="4" name="KSOTemplateDocerSaveRecord">
    <vt:lpwstr>eyJoZGlkIjoiNDMwMThiYzc3MWRlMDc2Njc1Y2E0YTY1MDU1MjA3YzIiLCJ1c2VySWQiOiIzMzY3NTA0NTQifQ==</vt:lpwstr>
  </property>
</Properties>
</file>