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C745F">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广东天安新材料</w:t>
      </w:r>
      <w:r>
        <w:rPr>
          <w:rFonts w:ascii="宋体" w:hAnsi="宋体"/>
          <w:b/>
          <w:bCs/>
          <w:iCs/>
          <w:color w:val="FF0000"/>
          <w:sz w:val="28"/>
          <w:szCs w:val="24"/>
        </w:rPr>
        <w:t>股份有限公司</w:t>
      </w:r>
    </w:p>
    <w:p w14:paraId="2F692872">
      <w:pPr>
        <w:spacing w:before="156" w:beforeLines="50" w:after="156" w:afterLines="50" w:line="400" w:lineRule="exact"/>
        <w:jc w:val="center"/>
        <w:rPr>
          <w:rFonts w:hint="eastAsia" w:ascii="宋体" w:hAnsi="宋体"/>
          <w:b/>
          <w:bCs/>
          <w:iCs/>
          <w:color w:val="FF0000"/>
          <w:sz w:val="28"/>
          <w:szCs w:val="24"/>
        </w:rPr>
      </w:pPr>
      <w:r>
        <w:rPr>
          <w:rFonts w:hint="eastAsia" w:ascii="宋体" w:hAnsi="宋体"/>
          <w:b/>
          <w:bCs/>
          <w:iCs/>
          <w:color w:val="FF0000"/>
          <w:sz w:val="28"/>
          <w:szCs w:val="24"/>
        </w:rPr>
        <w:t>投资者关系活动记录表</w:t>
      </w:r>
    </w:p>
    <w:p w14:paraId="70415F46">
      <w:pPr>
        <w:spacing w:line="400" w:lineRule="exact"/>
        <w:rPr>
          <w:rFonts w:hint="eastAsia" w:ascii="宋体" w:hAnsi="宋体" w:eastAsia="宋体"/>
          <w:bCs/>
          <w:iCs/>
          <w:sz w:val="24"/>
          <w:szCs w:val="24"/>
          <w:lang w:eastAsia="zh-CN"/>
        </w:rPr>
      </w:pPr>
      <w:r>
        <w:rPr>
          <w:rFonts w:hint="eastAsia" w:ascii="宋体" w:hAnsi="宋体"/>
          <w:bCs/>
          <w:iCs/>
          <w:sz w:val="24"/>
          <w:szCs w:val="24"/>
        </w:rPr>
        <w:t xml:space="preserve">                                                   编号：</w:t>
      </w:r>
      <w:r>
        <w:rPr>
          <w:rFonts w:ascii="宋体" w:hAnsi="宋体"/>
          <w:bCs/>
          <w:iCs/>
          <w:sz w:val="24"/>
          <w:szCs w:val="24"/>
        </w:rPr>
        <w:t>TA</w:t>
      </w:r>
      <w:r>
        <w:rPr>
          <w:rFonts w:hint="eastAsia" w:ascii="宋体" w:hAnsi="宋体"/>
          <w:bCs/>
          <w:iCs/>
          <w:sz w:val="24"/>
          <w:szCs w:val="24"/>
        </w:rPr>
        <w:t>2025-00</w:t>
      </w:r>
      <w:r>
        <w:rPr>
          <w:rFonts w:hint="eastAsia" w:ascii="宋体" w:hAnsi="宋体"/>
          <w:bCs/>
          <w:iCs/>
          <w:sz w:val="24"/>
          <w:szCs w:val="24"/>
          <w:lang w:val="en-US" w:eastAsia="zh-CN"/>
        </w:rPr>
        <w:t>7</w:t>
      </w:r>
    </w:p>
    <w:tbl>
      <w:tblPr>
        <w:tblStyle w:val="6"/>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5943"/>
      </w:tblGrid>
      <w:tr w14:paraId="09D0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16F0F3AC">
            <w:pPr>
              <w:spacing w:line="480" w:lineRule="atLeast"/>
              <w:jc w:val="both"/>
              <w:rPr>
                <w:rFonts w:hint="eastAsia" w:ascii="宋体" w:hAnsi="宋体"/>
                <w:b/>
                <w:bCs/>
                <w:iCs/>
                <w:sz w:val="24"/>
                <w:szCs w:val="24"/>
              </w:rPr>
            </w:pPr>
            <w:r>
              <w:rPr>
                <w:rFonts w:hint="eastAsia" w:ascii="宋体" w:hAnsi="宋体"/>
                <w:b/>
                <w:bCs/>
                <w:iCs/>
                <w:sz w:val="24"/>
                <w:szCs w:val="24"/>
              </w:rPr>
              <w:t>投资者关系活动类别</w:t>
            </w:r>
          </w:p>
          <w:p w14:paraId="34C0CF0C">
            <w:pPr>
              <w:spacing w:line="480" w:lineRule="atLeast"/>
              <w:jc w:val="both"/>
              <w:rPr>
                <w:rFonts w:hint="eastAsia" w:ascii="宋体" w:hAnsi="宋体"/>
                <w:b/>
                <w:bCs/>
                <w:iCs/>
                <w:sz w:val="24"/>
                <w:szCs w:val="24"/>
              </w:rPr>
            </w:pPr>
          </w:p>
        </w:tc>
        <w:tc>
          <w:tcPr>
            <w:tcW w:w="5943" w:type="dxa"/>
            <w:shd w:val="clear" w:color="auto" w:fill="auto"/>
          </w:tcPr>
          <w:p w14:paraId="63D3D6B9">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特定对象调研        </w:t>
            </w:r>
            <w:r>
              <w:rPr>
                <w:rFonts w:hint="eastAsia" w:ascii="宋体" w:hAnsi="宋体"/>
                <w:bCs/>
                <w:iCs/>
                <w:sz w:val="24"/>
                <w:szCs w:val="24"/>
              </w:rPr>
              <w:t>□</w:t>
            </w:r>
            <w:r>
              <w:rPr>
                <w:rFonts w:hint="eastAsia" w:ascii="宋体" w:hAnsi="宋体"/>
                <w:sz w:val="24"/>
                <w:szCs w:val="24"/>
              </w:rPr>
              <w:t>分析师会议</w:t>
            </w:r>
          </w:p>
          <w:p w14:paraId="50E16F77">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媒体采访            </w:t>
            </w:r>
            <w:r>
              <w:rPr>
                <w:rFonts w:hint="eastAsia" w:ascii="宋体" w:hAnsi="宋体"/>
                <w:bCs/>
                <w:iCs/>
                <w:sz w:val="24"/>
                <w:szCs w:val="24"/>
              </w:rPr>
              <w:t>□</w:t>
            </w:r>
            <w:r>
              <w:rPr>
                <w:rFonts w:hint="eastAsia" w:ascii="宋体" w:hAnsi="宋体"/>
                <w:sz w:val="24"/>
                <w:szCs w:val="24"/>
              </w:rPr>
              <w:t>业绩说明会</w:t>
            </w:r>
          </w:p>
          <w:p w14:paraId="737E1686">
            <w:pPr>
              <w:spacing w:line="480" w:lineRule="atLeast"/>
              <w:rPr>
                <w:rFonts w:hint="eastAsia" w:ascii="宋体" w:hAnsi="宋体"/>
                <w:bCs/>
                <w:iCs/>
                <w:sz w:val="24"/>
                <w:szCs w:val="24"/>
              </w:rPr>
            </w:pPr>
            <w:r>
              <w:rPr>
                <w:rFonts w:hint="eastAsia" w:ascii="宋体" w:hAnsi="宋体"/>
                <w:bCs/>
                <w:iCs/>
                <w:sz w:val="24"/>
                <w:szCs w:val="24"/>
              </w:rPr>
              <w:t>□</w:t>
            </w:r>
            <w:r>
              <w:rPr>
                <w:rFonts w:hint="eastAsia" w:ascii="宋体" w:hAnsi="宋体"/>
                <w:sz w:val="24"/>
                <w:szCs w:val="24"/>
              </w:rPr>
              <w:t xml:space="preserve">新闻发布会 </w:t>
            </w:r>
            <w:r>
              <w:rPr>
                <w:rFonts w:hint="eastAsia" w:ascii="宋体" w:hAnsi="宋体"/>
                <w:sz w:val="24"/>
                <w:szCs w:val="24"/>
                <w:lang w:val="en-US" w:eastAsia="zh-CN"/>
              </w:rPr>
              <w:t xml:space="preserve"> </w:t>
            </w:r>
            <w:r>
              <w:rPr>
                <w:rFonts w:hint="eastAsia" w:ascii="宋体" w:hAnsi="宋体"/>
                <w:sz w:val="24"/>
                <w:szCs w:val="24"/>
              </w:rPr>
              <w:t xml:space="preserve">        □路演活动</w:t>
            </w:r>
          </w:p>
          <w:p w14:paraId="4732FAE8">
            <w:pPr>
              <w:tabs>
                <w:tab w:val="left" w:pos="2805"/>
                <w:tab w:val="center" w:pos="3199"/>
              </w:tabs>
              <w:spacing w:line="480" w:lineRule="atLeast"/>
              <w:rPr>
                <w:rFonts w:hint="eastAsia" w:ascii="宋体" w:hAnsi="宋体" w:eastAsia="宋体"/>
                <w:bCs/>
                <w:iCs/>
                <w:sz w:val="24"/>
                <w:szCs w:val="24"/>
                <w:lang w:val="en-US" w:eastAsia="zh-CN"/>
              </w:rPr>
            </w:pPr>
            <w:r>
              <w:rPr>
                <w:rFonts w:hint="eastAsia" w:ascii="宋体" w:hAnsi="宋体"/>
                <w:bCs/>
                <w:iCs/>
                <w:sz w:val="24"/>
                <w:szCs w:val="24"/>
                <w:lang w:eastAsia="zh-CN"/>
              </w:rPr>
              <w:t>√</w:t>
            </w:r>
            <w:r>
              <w:rPr>
                <w:rFonts w:hint="eastAsia" w:ascii="宋体" w:hAnsi="宋体"/>
                <w:sz w:val="24"/>
                <w:szCs w:val="24"/>
              </w:rPr>
              <w:t>现场参观</w:t>
            </w:r>
            <w:r>
              <w:rPr>
                <w:rFonts w:hint="eastAsia" w:ascii="宋体" w:hAnsi="宋体"/>
                <w:bCs/>
                <w:iCs/>
                <w:sz w:val="24"/>
                <w:szCs w:val="24"/>
              </w:rPr>
              <w:t xml:space="preserve">            √其他</w:t>
            </w:r>
          </w:p>
        </w:tc>
      </w:tr>
      <w:tr w14:paraId="051EC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1A7BBD2E">
            <w:pPr>
              <w:spacing w:line="480" w:lineRule="atLeast"/>
              <w:jc w:val="both"/>
              <w:rPr>
                <w:rFonts w:hint="eastAsia" w:ascii="宋体" w:hAnsi="宋体"/>
                <w:b/>
                <w:bCs/>
                <w:iCs/>
                <w:sz w:val="24"/>
                <w:szCs w:val="24"/>
              </w:rPr>
            </w:pPr>
            <w:r>
              <w:rPr>
                <w:rFonts w:hint="eastAsia" w:ascii="宋体" w:hAnsi="宋体"/>
                <w:b/>
                <w:bCs/>
                <w:iCs/>
                <w:sz w:val="24"/>
                <w:szCs w:val="24"/>
              </w:rPr>
              <w:t>参与单位名称</w:t>
            </w:r>
          </w:p>
        </w:tc>
        <w:tc>
          <w:tcPr>
            <w:tcW w:w="5943" w:type="dxa"/>
            <w:shd w:val="clear" w:color="auto" w:fill="auto"/>
          </w:tcPr>
          <w:p w14:paraId="18155306">
            <w:pPr>
              <w:spacing w:line="480" w:lineRule="atLeas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排名不分先后</w:t>
            </w:r>
            <w:r>
              <w:rPr>
                <w:rFonts w:hint="eastAsia" w:asciiTheme="minorEastAsia" w:hAnsiTheme="minorEastAsia" w:eastAsiaTheme="minorEastAsia"/>
                <w:sz w:val="24"/>
                <w:szCs w:val="24"/>
                <w:lang w:eastAsia="zh-CN"/>
              </w:rPr>
              <w:t>）申万宏源、国金证券、招商证券、广发证券、东北证券、东吴证券、光大证券、长城证券、华鑫证券、中信证券、财通证券、长江证券、国泰海通证券、国投证券、华安证券、国联民生证券、天风证券、华泰证券、方正证券、中邮证券、东方财富证券、华西证券、华夏基金、平安证券、国泰基金、世纪证券、国元证券、浙商证券、北京和聚私募、贝莱德基金、道生投资、广东正圆私募、凯联投资、浦银安盛基金、泉果基金、深圳清水源投资、信银理财、阳光资管、浙江益恒投资</w:t>
            </w:r>
            <w:r>
              <w:rPr>
                <w:rFonts w:hint="eastAsia" w:asciiTheme="minorEastAsia" w:hAnsiTheme="minorEastAsia" w:eastAsiaTheme="minorEastAsia"/>
                <w:sz w:val="24"/>
                <w:szCs w:val="24"/>
                <w:lang w:val="en-US" w:eastAsia="zh-CN"/>
              </w:rPr>
              <w:t>等</w:t>
            </w:r>
          </w:p>
        </w:tc>
      </w:tr>
      <w:tr w14:paraId="3E71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07EB9D8B">
            <w:pPr>
              <w:spacing w:line="480" w:lineRule="atLeast"/>
              <w:jc w:val="both"/>
              <w:rPr>
                <w:rFonts w:hint="eastAsia" w:ascii="宋体" w:hAnsi="宋体"/>
                <w:b/>
                <w:bCs/>
                <w:iCs/>
                <w:sz w:val="24"/>
                <w:szCs w:val="24"/>
              </w:rPr>
            </w:pPr>
            <w:r>
              <w:rPr>
                <w:rFonts w:hint="eastAsia" w:ascii="宋体" w:hAnsi="宋体"/>
                <w:b/>
                <w:bCs/>
                <w:iCs/>
                <w:sz w:val="24"/>
                <w:szCs w:val="24"/>
              </w:rPr>
              <w:t>时间</w:t>
            </w:r>
          </w:p>
        </w:tc>
        <w:tc>
          <w:tcPr>
            <w:tcW w:w="5943" w:type="dxa"/>
            <w:shd w:val="clear" w:color="auto" w:fill="auto"/>
          </w:tcPr>
          <w:p w14:paraId="750791CB">
            <w:pPr>
              <w:spacing w:line="480" w:lineRule="atLeast"/>
              <w:rPr>
                <w:rFonts w:hint="default" w:ascii="宋体" w:hAnsi="宋体" w:eastAsia="宋体"/>
                <w:bCs/>
                <w:iCs/>
                <w:sz w:val="24"/>
                <w:szCs w:val="24"/>
                <w:lang w:val="en-US" w:eastAsia="zh-CN"/>
              </w:rPr>
            </w:pPr>
            <w:r>
              <w:rPr>
                <w:rFonts w:hint="eastAsia" w:ascii="宋体" w:hAnsi="宋体"/>
                <w:bCs/>
                <w:iCs/>
                <w:sz w:val="24"/>
                <w:szCs w:val="24"/>
              </w:rPr>
              <w:t>2025年</w:t>
            </w:r>
            <w:r>
              <w:rPr>
                <w:rFonts w:hint="eastAsia" w:ascii="宋体" w:hAnsi="宋体"/>
                <w:bCs/>
                <w:iCs/>
                <w:sz w:val="24"/>
                <w:szCs w:val="24"/>
                <w:lang w:val="en-US" w:eastAsia="zh-CN"/>
              </w:rPr>
              <w:t>10</w:t>
            </w:r>
            <w:r>
              <w:rPr>
                <w:rFonts w:hint="eastAsia" w:ascii="宋体" w:hAnsi="宋体"/>
                <w:bCs/>
                <w:iCs/>
                <w:sz w:val="24"/>
                <w:szCs w:val="24"/>
              </w:rPr>
              <w:t>月</w:t>
            </w:r>
            <w:r>
              <w:rPr>
                <w:rFonts w:hint="eastAsia" w:ascii="宋体" w:hAnsi="宋体"/>
                <w:bCs/>
                <w:iCs/>
                <w:sz w:val="24"/>
                <w:szCs w:val="24"/>
                <w:lang w:val="en-US" w:eastAsia="zh-CN"/>
              </w:rPr>
              <w:t>20</w:t>
            </w:r>
            <w:r>
              <w:rPr>
                <w:rFonts w:hint="eastAsia" w:ascii="宋体" w:hAnsi="宋体"/>
                <w:bCs/>
                <w:iCs/>
                <w:sz w:val="24"/>
                <w:szCs w:val="24"/>
              </w:rPr>
              <w:t>日</w:t>
            </w:r>
            <w:r>
              <w:rPr>
                <w:rFonts w:hint="eastAsia" w:ascii="宋体" w:hAnsi="宋体"/>
                <w:bCs/>
                <w:iCs/>
                <w:sz w:val="24"/>
                <w:szCs w:val="24"/>
                <w:lang w:val="en-US" w:eastAsia="zh-CN"/>
              </w:rPr>
              <w:t>-10月24日</w:t>
            </w:r>
          </w:p>
        </w:tc>
      </w:tr>
      <w:tr w14:paraId="61A5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129AC241">
            <w:pPr>
              <w:spacing w:line="480" w:lineRule="atLeast"/>
              <w:jc w:val="both"/>
              <w:rPr>
                <w:rFonts w:hint="eastAsia" w:ascii="宋体" w:hAnsi="宋体"/>
                <w:b/>
                <w:bCs/>
                <w:iCs/>
                <w:sz w:val="24"/>
                <w:szCs w:val="24"/>
              </w:rPr>
            </w:pPr>
            <w:r>
              <w:rPr>
                <w:rFonts w:hint="eastAsia" w:ascii="宋体" w:hAnsi="宋体"/>
                <w:b/>
                <w:bCs/>
                <w:iCs/>
                <w:sz w:val="24"/>
                <w:szCs w:val="24"/>
              </w:rPr>
              <w:t>地点</w:t>
            </w:r>
          </w:p>
        </w:tc>
        <w:tc>
          <w:tcPr>
            <w:tcW w:w="5943" w:type="dxa"/>
            <w:shd w:val="clear" w:color="auto" w:fill="auto"/>
          </w:tcPr>
          <w:p w14:paraId="561AEA90">
            <w:pPr>
              <w:spacing w:line="480" w:lineRule="atLeast"/>
              <w:rPr>
                <w:rFonts w:hint="eastAsia" w:ascii="宋体" w:hAnsi="宋体"/>
                <w:bCs/>
                <w:iCs/>
                <w:sz w:val="24"/>
                <w:szCs w:val="24"/>
              </w:rPr>
            </w:pPr>
            <w:r>
              <w:rPr>
                <w:rFonts w:hint="eastAsia" w:ascii="宋体" w:hAnsi="宋体"/>
                <w:bCs/>
                <w:iCs/>
                <w:sz w:val="24"/>
                <w:szCs w:val="24"/>
              </w:rPr>
              <w:t>线上电话会议</w:t>
            </w:r>
          </w:p>
          <w:p w14:paraId="5DDE344E">
            <w:pPr>
              <w:spacing w:line="480" w:lineRule="atLeast"/>
              <w:rPr>
                <w:rFonts w:hint="eastAsia" w:ascii="宋体" w:hAnsi="宋体"/>
                <w:bCs/>
                <w:iCs/>
                <w:sz w:val="24"/>
                <w:szCs w:val="24"/>
                <w:lang w:eastAsia="zh-CN"/>
              </w:rPr>
            </w:pPr>
            <w:r>
              <w:rPr>
                <w:rFonts w:hint="eastAsia" w:ascii="宋体" w:hAnsi="宋体"/>
                <w:bCs/>
                <w:iCs/>
                <w:sz w:val="24"/>
                <w:szCs w:val="24"/>
                <w:lang w:eastAsia="zh-CN"/>
              </w:rPr>
              <w:t>广东天安新材料股份有限公司鹰创园鹰牌展馆</w:t>
            </w:r>
          </w:p>
        </w:tc>
      </w:tr>
      <w:tr w14:paraId="0CD8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25C337B3">
            <w:pPr>
              <w:spacing w:line="480" w:lineRule="atLeast"/>
              <w:jc w:val="both"/>
              <w:rPr>
                <w:rFonts w:hint="eastAsia" w:ascii="宋体" w:hAnsi="宋体"/>
                <w:b/>
                <w:bCs/>
                <w:iCs/>
                <w:sz w:val="24"/>
                <w:szCs w:val="24"/>
              </w:rPr>
            </w:pPr>
            <w:r>
              <w:rPr>
                <w:rFonts w:hint="eastAsia" w:ascii="宋体" w:hAnsi="宋体"/>
                <w:b/>
                <w:bCs/>
                <w:iCs/>
                <w:sz w:val="24"/>
                <w:szCs w:val="24"/>
              </w:rPr>
              <w:t>上市公司接待人员姓名</w:t>
            </w:r>
          </w:p>
        </w:tc>
        <w:tc>
          <w:tcPr>
            <w:tcW w:w="5943" w:type="dxa"/>
            <w:shd w:val="clear" w:color="auto" w:fill="auto"/>
            <w:vAlign w:val="center"/>
          </w:tcPr>
          <w:p w14:paraId="5B3AD6CD">
            <w:pPr>
              <w:spacing w:line="480" w:lineRule="atLeast"/>
              <w:jc w:val="both"/>
              <w:rPr>
                <w:rFonts w:hint="eastAsia" w:ascii="宋体" w:hAnsi="宋体"/>
                <w:bCs/>
                <w:iCs/>
                <w:sz w:val="24"/>
                <w:szCs w:val="24"/>
              </w:rPr>
            </w:pPr>
            <w:r>
              <w:rPr>
                <w:rFonts w:hint="eastAsia" w:ascii="宋体" w:hAnsi="宋体"/>
                <w:bCs/>
                <w:iCs/>
                <w:sz w:val="24"/>
                <w:szCs w:val="24"/>
              </w:rPr>
              <w:t>董事长、总经理吴启超</w:t>
            </w:r>
          </w:p>
          <w:p w14:paraId="7EC2A8F3">
            <w:pPr>
              <w:spacing w:line="480" w:lineRule="atLeast"/>
              <w:jc w:val="both"/>
              <w:rPr>
                <w:rFonts w:hint="eastAsia" w:ascii="宋体" w:hAnsi="宋体"/>
                <w:bCs/>
                <w:iCs/>
                <w:sz w:val="24"/>
                <w:szCs w:val="24"/>
              </w:rPr>
            </w:pPr>
            <w:r>
              <w:rPr>
                <w:rFonts w:hint="eastAsia" w:ascii="宋体" w:hAnsi="宋体"/>
                <w:bCs/>
                <w:iCs/>
                <w:sz w:val="24"/>
                <w:szCs w:val="24"/>
              </w:rPr>
              <w:t>董事、副总经理、董事会秘书曾艳华</w:t>
            </w:r>
          </w:p>
        </w:tc>
      </w:tr>
      <w:tr w14:paraId="1184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730" w:type="dxa"/>
            <w:shd w:val="clear" w:color="auto" w:fill="auto"/>
            <w:vAlign w:val="center"/>
          </w:tcPr>
          <w:p w14:paraId="65C3D4FB">
            <w:pPr>
              <w:spacing w:line="480" w:lineRule="atLeast"/>
              <w:jc w:val="both"/>
              <w:rPr>
                <w:rFonts w:hint="eastAsia" w:ascii="宋体" w:hAnsi="宋体"/>
                <w:b/>
                <w:bCs/>
                <w:iCs/>
                <w:sz w:val="24"/>
                <w:szCs w:val="24"/>
              </w:rPr>
            </w:pPr>
            <w:r>
              <w:rPr>
                <w:rFonts w:hint="eastAsia" w:ascii="宋体" w:hAnsi="宋体"/>
                <w:b/>
                <w:bCs/>
                <w:iCs/>
                <w:sz w:val="24"/>
                <w:szCs w:val="24"/>
              </w:rPr>
              <w:t>投资者关系活动主要内容介绍</w:t>
            </w:r>
          </w:p>
          <w:p w14:paraId="24CE7D0C">
            <w:pPr>
              <w:spacing w:line="480" w:lineRule="atLeast"/>
              <w:jc w:val="both"/>
              <w:rPr>
                <w:rFonts w:hint="eastAsia" w:ascii="宋体" w:hAnsi="宋体"/>
                <w:b/>
                <w:bCs/>
                <w:iCs/>
                <w:sz w:val="24"/>
                <w:szCs w:val="24"/>
              </w:rPr>
            </w:pPr>
          </w:p>
        </w:tc>
        <w:tc>
          <w:tcPr>
            <w:tcW w:w="5943" w:type="dxa"/>
            <w:shd w:val="clear" w:color="auto" w:fill="auto"/>
          </w:tcPr>
          <w:p w14:paraId="61A53F82">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b/>
                <w:sz w:val="24"/>
                <w:szCs w:val="24"/>
              </w:rPr>
            </w:pPr>
            <w:r>
              <w:rPr>
                <w:rFonts w:hint="eastAsia"/>
                <w:b/>
                <w:sz w:val="24"/>
                <w:szCs w:val="24"/>
              </w:rPr>
              <w:t>公司基本情况介绍；</w:t>
            </w:r>
          </w:p>
          <w:p w14:paraId="6550C831">
            <w:pPr>
              <w:pStyle w:val="10"/>
              <w:keepNext w:val="0"/>
              <w:keepLines w:val="0"/>
              <w:pageBreakBefore w:val="0"/>
              <w:widowControl/>
              <w:numPr>
                <w:ilvl w:val="0"/>
                <w:numId w:val="1"/>
              </w:numPr>
              <w:kinsoku/>
              <w:wordWrap/>
              <w:overflowPunct/>
              <w:topLinePunct w:val="0"/>
              <w:autoSpaceDE/>
              <w:autoSpaceDN/>
              <w:bidi w:val="0"/>
              <w:adjustRightInd/>
              <w:snapToGrid/>
              <w:spacing w:line="360" w:lineRule="auto"/>
              <w:ind w:firstLineChars="0"/>
              <w:jc w:val="left"/>
              <w:textAlignment w:val="auto"/>
              <w:rPr>
                <w:b/>
                <w:sz w:val="24"/>
                <w:szCs w:val="24"/>
              </w:rPr>
            </w:pPr>
            <w:r>
              <w:rPr>
                <w:rFonts w:hint="eastAsia"/>
                <w:b/>
                <w:sz w:val="24"/>
                <w:szCs w:val="24"/>
              </w:rPr>
              <w:t>与投资者进行交流，主要内容如下：</w:t>
            </w:r>
          </w:p>
          <w:p w14:paraId="48711F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b/>
                <w:sz w:val="24"/>
                <w:szCs w:val="24"/>
              </w:rPr>
            </w:pPr>
            <w:r>
              <w:rPr>
                <w:rFonts w:hint="eastAsia"/>
                <w:b/>
                <w:sz w:val="24"/>
                <w:szCs w:val="24"/>
              </w:rPr>
              <w:t>（一）2025年前三季度公司主要经营情况</w:t>
            </w:r>
          </w:p>
          <w:p w14:paraId="4B8F82C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sz w:val="24"/>
                <w:szCs w:val="24"/>
              </w:rPr>
            </w:pPr>
            <w:r>
              <w:rPr>
                <w:rFonts w:hint="eastAsia"/>
                <w:b w:val="0"/>
                <w:bCs/>
                <w:sz w:val="24"/>
                <w:szCs w:val="24"/>
              </w:rPr>
              <w:t>2025年第三季度，公司业绩延续一季度以来的增长态势。2025年1-9月公司实现营业收入22.73亿元，同比增长3.47%；实现归母净利润9753.97万元，同比增长21.47%；实现扣非归母净利润9507.89万元，同比增长31.07%。公司坚持夯实</w:t>
            </w:r>
            <w:r>
              <w:rPr>
                <w:rFonts w:hint="eastAsia"/>
                <w:b w:val="0"/>
                <w:bCs/>
                <w:sz w:val="24"/>
                <w:szCs w:val="24"/>
                <w:lang w:val="en-US" w:eastAsia="zh-CN"/>
              </w:rPr>
              <w:t>主</w:t>
            </w:r>
            <w:bookmarkStart w:id="0" w:name="_GoBack"/>
            <w:bookmarkEnd w:id="0"/>
            <w:r>
              <w:rPr>
                <w:rFonts w:hint="eastAsia"/>
                <w:b w:val="0"/>
                <w:bCs/>
                <w:sz w:val="24"/>
                <w:szCs w:val="24"/>
              </w:rPr>
              <w:t>业，以“构建泛家居产业生态圈”为战略目标，以市场需求为导向，充分发挥产业集群优势，同时通过精益管理降本提效，多措并举提高公司管理效率和经营效益。</w:t>
            </w:r>
          </w:p>
          <w:p w14:paraId="271026D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b w:val="0"/>
                <w:bCs/>
                <w:sz w:val="24"/>
                <w:szCs w:val="24"/>
              </w:rPr>
            </w:pPr>
          </w:p>
          <w:p w14:paraId="5C956FBD">
            <w:pPr>
              <w:keepNext w:val="0"/>
              <w:keepLines w:val="0"/>
              <w:pageBreakBefore w:val="0"/>
              <w:widowControl/>
              <w:kinsoku/>
              <w:wordWrap/>
              <w:overflowPunct/>
              <w:topLinePunct w:val="0"/>
              <w:autoSpaceDE/>
              <w:autoSpaceDN/>
              <w:bidi w:val="0"/>
              <w:adjustRightInd/>
              <w:snapToGrid/>
              <w:spacing w:line="360" w:lineRule="auto"/>
              <w:jc w:val="left"/>
              <w:textAlignment w:val="auto"/>
              <w:rPr>
                <w:sz w:val="24"/>
                <w:szCs w:val="24"/>
              </w:rPr>
            </w:pPr>
            <w:r>
              <w:rPr>
                <w:rFonts w:hint="eastAsia"/>
                <w:b/>
                <w:sz w:val="24"/>
                <w:szCs w:val="24"/>
              </w:rPr>
              <w:t>（</w:t>
            </w:r>
            <w:r>
              <w:rPr>
                <w:rFonts w:hint="eastAsia"/>
                <w:b/>
                <w:sz w:val="24"/>
                <w:szCs w:val="24"/>
                <w:lang w:val="en-US" w:eastAsia="zh-CN"/>
              </w:rPr>
              <w:t>二</w:t>
            </w:r>
            <w:r>
              <w:rPr>
                <w:rFonts w:hint="eastAsia"/>
                <w:b/>
                <w:sz w:val="24"/>
                <w:szCs w:val="24"/>
              </w:rPr>
              <w:t>）提问交流环节：</w:t>
            </w:r>
          </w:p>
          <w:p w14:paraId="7DC7C5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eastAsia="宋体"/>
                <w:sz w:val="24"/>
                <w:szCs w:val="24"/>
                <w:lang w:val="en-US" w:eastAsia="zh-CN"/>
              </w:rPr>
            </w:pPr>
            <w:r>
              <w:rPr>
                <w:rFonts w:hint="eastAsia"/>
                <w:sz w:val="24"/>
                <w:szCs w:val="24"/>
              </w:rPr>
              <w:t>1、公司在机器人、电子皮肤领域的布局和进展如何？</w:t>
            </w:r>
          </w:p>
          <w:p w14:paraId="31AC1E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sz w:val="24"/>
                <w:szCs w:val="24"/>
              </w:rPr>
              <w:t>答：公司以强劲势头拥抱具身智能浪潮，依托核心优势的肤感饰面材料技术，纵深推进同源性技术探索与延伸，研发兼具柔软亲肤、耐弯折、高耐磨、轻量化四大核心特性的机器人皮肤、肌肉系列产品，为机器人升级提供关键材料支撑。8月27日，公司完成对若铂机器人的战略入股，为智能制造领域布局落下关键一子；10月15日，公司与他山科技正式签署战略合作协议，双方将携手攻关电子皮肤集成产品研发，进一步拓宽技术应用边界。公司在智能制造技术突破、电子皮肤产品落地两大核心方向上均稳步推进，持续构建具身智能领域的技术壁垒与产业竞争力。目前公司在电子皮肤相关领域仍处于技术探索和研究阶段，暂未有相关产品，对公司业绩不构成影响，请广大投资者理性决策，注意投资风险。</w:t>
            </w:r>
            <w:r>
              <w:rPr>
                <w:sz w:val="24"/>
                <w:szCs w:val="24"/>
              </w:rPr>
              <w:t xml:space="preserve"> </w:t>
            </w:r>
          </w:p>
          <w:p w14:paraId="2907CFC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sz w:val="24"/>
                <w:szCs w:val="24"/>
              </w:rPr>
            </w:pPr>
          </w:p>
          <w:p w14:paraId="06B701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lang w:val="en-US" w:eastAsia="zh-CN"/>
              </w:rPr>
              <w:t>2</w:t>
            </w:r>
            <w:r>
              <w:rPr>
                <w:rFonts w:hint="eastAsia"/>
                <w:sz w:val="24"/>
                <w:szCs w:val="24"/>
              </w:rPr>
              <w:t>、公司参股若铂机器人后会有哪些举措为若铂赋能？</w:t>
            </w:r>
          </w:p>
          <w:p w14:paraId="45C704C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答：若铂机器人聚焦机器人核心技术——伺服驱动与控制系统核心算法的研发，凭借自研工业操作系统（OS）、高精度伺服与控制系统以及小模型低代码AI算法技术平台等，构建起覆盖人工智能、机器人、工业互联网等领域的技术矩阵，为医疗、橡胶、农业、航空航天及军工等场景提供国际领先的智能化解决方案，且已在多个领域实现标准化设备落地。天安新材在产品研发、市场渠道和生产管理方面具有丰富经验，公司参股若铂机器人后将迅速整合产业资源，依托自身丰富的行业资源和市场经验，为若铂机器人精准匹配应用场景，并协助对接医疗等行业龙头企业展开深度交流。通过此次参股，若铂机器人将获得更多资源和支持，进一步加速技术研发和市场渠道拓展进程，推动业务迈向更高的发展台阶。</w:t>
            </w:r>
          </w:p>
          <w:p w14:paraId="481C7F3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p>
          <w:p w14:paraId="7FB48A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lang w:val="en-US" w:eastAsia="zh-CN"/>
              </w:rPr>
              <w:t>3</w:t>
            </w:r>
            <w:r>
              <w:rPr>
                <w:rFonts w:hint="eastAsia"/>
                <w:sz w:val="24"/>
                <w:szCs w:val="24"/>
              </w:rPr>
              <w:t>、10月17日公司旗下鹰牌新材召开战略发布会，是否是公司布局旧改存量市场的又一战略性举措？</w:t>
            </w:r>
          </w:p>
          <w:p w14:paraId="7B200ED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答：面对存量市场的规模增长与行业内卷式的竞争困局，公司稳中求变，成立一站式环保新型家装材料品牌“鹰牌新材”。鹰牌新材依托鹰牌陶瓷广泛的经销商网络，以墙板、地板、岩板等环保美观部品精准切入旧改、局改市场，通过深化和延伸服务链条提高门店客户单价。随着消费者对环保健康意识的提升，公司精准洞察并提前布局，经过多年的技术沉淀与布局，不断完善产业链、团队认知与技术储备，建立了以科技创新为核心的工业化装配式内装体系，同时通过科技创新驱动生产流程与产品结构的优化，将创新成果转化为自身的竞争优势。鹰牌新材依托天安新材工业化装配式内装体系，将推出四大产品系统：墙面系统、地面系统、门墙柜同色定制系统和家具更新系统，除了已发布的墙地旧改体系以外，未来将陆续发布门柜旧改体系与厨卫旧改体系，基于不同的场景需求打造针对性的解决方案，积极拓展旧房改造业务，从而带动公司家居装饰饰面材料、家装部品部件、建筑防火饰面板材等产业链业务的增量发展。</w:t>
            </w:r>
          </w:p>
          <w:p w14:paraId="53A0230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p>
          <w:p w14:paraId="41E8891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4、公司汽车内饰材料、建筑防火饰面板材业务大幅增长的原因是什么？</w:t>
            </w:r>
          </w:p>
          <w:p w14:paraId="76805BB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lang w:val="en-US" w:eastAsia="zh-CN"/>
              </w:rPr>
            </w:pPr>
            <w:r>
              <w:rPr>
                <w:rFonts w:hint="eastAsia"/>
                <w:sz w:val="24"/>
                <w:szCs w:val="24"/>
                <w:lang w:val="en-US" w:eastAsia="zh-CN"/>
              </w:rPr>
              <w:t>答：公司始终坚持深耕主业，以产业链资源优势打造高科技、高效能、高质量的新质生产力发展路径，多措并举不断提升公司管理效率和经营效益。在汽车内饰材料板块，依托多年在汽车内饰饰面材料领域的深耕，公司积极维护并加强与现有客户的合作黏性，持续拓展新能源汽车和自主品牌车企新车型项目开发，推动汽车内饰饰面材料业务板块销量和收入持续增长。在建筑防火饰面板材业务板块，公司各运营管理环节不断强化协同，通过增设技术中心，同时加大研发资金投入力度，聚焦建筑防火饰面板材的性能优化、工艺创新及应用场景拓展，为新产品研发、现有产品迭代及改善成本结构提供资源支撑，实现经营质量的持续改善。与此同时，公司积极布局建筑防火饰面板材出海，结合国际市场需求特点与合规要求，开展出口产品的适应性研发与生产，并通过拓展海外合作渠道、参加国际建材展会等方式，逐步提升产品在国际市场的覆盖面与认可度，以出口业务的稳步拓展为建筑防火饰面板材业务板块注入新增长动力。通过内部运营协同优化与外部出口业务拓展的双向发力，公司建筑防火饰面板材业务的经营质量实现持续改善。</w:t>
            </w:r>
          </w:p>
          <w:p w14:paraId="469DDB7F">
            <w:pPr>
              <w:widowControl/>
              <w:jc w:val="left"/>
              <w:rPr>
                <w:rFonts w:hint="eastAsia"/>
                <w:sz w:val="24"/>
                <w:szCs w:val="24"/>
              </w:rPr>
            </w:pPr>
          </w:p>
          <w:p w14:paraId="79A1F78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lang w:val="en-US" w:eastAsia="zh-CN"/>
              </w:rPr>
              <w:t>5</w:t>
            </w:r>
            <w:r>
              <w:rPr>
                <w:rFonts w:hint="eastAsia"/>
                <w:sz w:val="24"/>
                <w:szCs w:val="24"/>
              </w:rPr>
              <w:t>、公司的出海战略有哪些具体举措？是否已有成效？</w:t>
            </w:r>
          </w:p>
          <w:p w14:paraId="1BA2B4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sz w:val="24"/>
                <w:szCs w:val="24"/>
                <w:lang w:val="en-US" w:eastAsia="zh-CN"/>
              </w:rPr>
            </w:pPr>
            <w:r>
              <w:rPr>
                <w:rFonts w:hint="eastAsia"/>
                <w:sz w:val="24"/>
                <w:szCs w:val="24"/>
              </w:rPr>
              <w:t>答：在全球产业格局深度调整的背景下，公司深知要在危机中育新机，于变局中开新局，积极布局海外市场，重点聚焦经济发达但家居建材工业化程度尚具提升空间的国家和地区，致力于实现技术、服务、品牌出海。公司装配式墙板、防火板等创新产品，凭借安装便捷、缩短工期、低碳环保的优势，在人工成本高昂的海外市场备受青睐。同时，公司旗下鹰牌陶瓷在澳大利亚墨尔本以及悉尼的经销商展厅相继开业，构建起多元海外渠道矩阵。公司以亮眼成绩彰显品牌出海硬实力，这一增长得益于技术创新与精准布局的双重赋能。未来公司将继续深化国际合作，拓展全球市场版图，通过输出成熟的技术解决方案、卓越的服务体系以及强大的品牌价值，致力于实现从区域性领军企业向全球化泛家居品牌的战略升级。</w:t>
            </w:r>
          </w:p>
          <w:p w14:paraId="12B6FFE8">
            <w:pPr>
              <w:widowControl/>
              <w:jc w:val="left"/>
              <w:rPr>
                <w:sz w:val="24"/>
                <w:szCs w:val="24"/>
              </w:rPr>
            </w:pPr>
          </w:p>
        </w:tc>
      </w:tr>
      <w:tr w14:paraId="623B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2CBAFEF1">
            <w:pPr>
              <w:spacing w:line="480" w:lineRule="atLeast"/>
              <w:rPr>
                <w:rFonts w:hint="eastAsia" w:ascii="宋体" w:hAnsi="宋体"/>
                <w:b/>
                <w:bCs/>
                <w:iCs/>
                <w:sz w:val="24"/>
                <w:szCs w:val="24"/>
              </w:rPr>
            </w:pPr>
            <w:r>
              <w:rPr>
                <w:rFonts w:hint="eastAsia" w:ascii="宋体" w:hAnsi="宋体"/>
                <w:b/>
                <w:bCs/>
                <w:iCs/>
                <w:sz w:val="24"/>
                <w:szCs w:val="24"/>
              </w:rPr>
              <w:t>附件清单</w:t>
            </w:r>
          </w:p>
          <w:p w14:paraId="14C10D9E">
            <w:pPr>
              <w:spacing w:line="480" w:lineRule="atLeast"/>
              <w:rPr>
                <w:rFonts w:hint="eastAsia" w:ascii="宋体" w:hAnsi="宋体"/>
                <w:b/>
                <w:bCs/>
                <w:iCs/>
                <w:sz w:val="24"/>
                <w:szCs w:val="24"/>
              </w:rPr>
            </w:pPr>
            <w:r>
              <w:rPr>
                <w:rFonts w:hint="eastAsia" w:ascii="宋体" w:hAnsi="宋体"/>
                <w:b/>
                <w:bCs/>
                <w:iCs/>
                <w:sz w:val="24"/>
                <w:szCs w:val="24"/>
              </w:rPr>
              <w:t>（如有）</w:t>
            </w:r>
          </w:p>
        </w:tc>
        <w:tc>
          <w:tcPr>
            <w:tcW w:w="5943" w:type="dxa"/>
            <w:shd w:val="clear" w:color="auto" w:fill="auto"/>
          </w:tcPr>
          <w:p w14:paraId="4D3415FA">
            <w:pPr>
              <w:spacing w:line="480" w:lineRule="atLeast"/>
              <w:rPr>
                <w:rFonts w:hint="eastAsia" w:ascii="宋体" w:hAnsi="宋体"/>
                <w:bCs/>
                <w:iCs/>
                <w:sz w:val="24"/>
                <w:szCs w:val="24"/>
              </w:rPr>
            </w:pPr>
            <w:r>
              <w:rPr>
                <w:rFonts w:ascii="宋体" w:hAnsi="宋体"/>
                <w:bCs/>
                <w:iCs/>
                <w:sz w:val="24"/>
                <w:szCs w:val="24"/>
              </w:rPr>
              <w:t>无</w:t>
            </w:r>
          </w:p>
        </w:tc>
      </w:tr>
      <w:tr w14:paraId="719AC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0" w:type="dxa"/>
            <w:shd w:val="clear" w:color="auto" w:fill="auto"/>
            <w:vAlign w:val="center"/>
          </w:tcPr>
          <w:p w14:paraId="32A9BB6F">
            <w:pPr>
              <w:spacing w:line="480" w:lineRule="atLeast"/>
              <w:rPr>
                <w:rFonts w:hint="eastAsia" w:ascii="宋体" w:hAnsi="宋体"/>
                <w:b/>
                <w:bCs/>
                <w:iCs/>
                <w:sz w:val="24"/>
                <w:szCs w:val="24"/>
              </w:rPr>
            </w:pPr>
            <w:r>
              <w:rPr>
                <w:rFonts w:hint="eastAsia" w:ascii="宋体" w:hAnsi="宋体"/>
                <w:b/>
                <w:bCs/>
                <w:iCs/>
                <w:sz w:val="24"/>
                <w:szCs w:val="24"/>
              </w:rPr>
              <w:t>日期</w:t>
            </w:r>
          </w:p>
        </w:tc>
        <w:tc>
          <w:tcPr>
            <w:tcW w:w="5943" w:type="dxa"/>
            <w:shd w:val="clear" w:color="auto" w:fill="auto"/>
          </w:tcPr>
          <w:p w14:paraId="3488726F">
            <w:pPr>
              <w:spacing w:line="480" w:lineRule="atLeast"/>
              <w:rPr>
                <w:rFonts w:hint="eastAsia" w:ascii="宋体" w:hAnsi="宋体"/>
                <w:bCs/>
                <w:iCs/>
                <w:sz w:val="24"/>
                <w:szCs w:val="24"/>
              </w:rPr>
            </w:pPr>
            <w:r>
              <w:rPr>
                <w:rFonts w:hint="eastAsia" w:ascii="宋体" w:hAnsi="宋体"/>
                <w:bCs/>
                <w:iCs/>
                <w:sz w:val="24"/>
                <w:szCs w:val="24"/>
              </w:rPr>
              <w:t>2025年</w:t>
            </w:r>
            <w:r>
              <w:rPr>
                <w:rFonts w:hint="eastAsia" w:ascii="宋体" w:hAnsi="宋体"/>
                <w:bCs/>
                <w:iCs/>
                <w:sz w:val="24"/>
                <w:szCs w:val="24"/>
                <w:lang w:val="en-US" w:eastAsia="zh-CN"/>
              </w:rPr>
              <w:t>10</w:t>
            </w:r>
            <w:r>
              <w:rPr>
                <w:rFonts w:hint="eastAsia" w:ascii="宋体" w:hAnsi="宋体"/>
                <w:bCs/>
                <w:iCs/>
                <w:sz w:val="24"/>
                <w:szCs w:val="24"/>
              </w:rPr>
              <w:t>月</w:t>
            </w:r>
            <w:r>
              <w:rPr>
                <w:rFonts w:hint="eastAsia" w:ascii="宋体" w:hAnsi="宋体"/>
                <w:bCs/>
                <w:iCs/>
                <w:sz w:val="24"/>
                <w:szCs w:val="24"/>
                <w:lang w:val="en-US" w:eastAsia="zh-CN"/>
              </w:rPr>
              <w:t>24</w:t>
            </w:r>
            <w:r>
              <w:rPr>
                <w:rFonts w:hint="eastAsia" w:ascii="宋体" w:hAnsi="宋体"/>
                <w:bCs/>
                <w:iCs/>
                <w:sz w:val="24"/>
                <w:szCs w:val="24"/>
              </w:rPr>
              <w:t>日</w:t>
            </w:r>
          </w:p>
        </w:tc>
      </w:tr>
    </w:tbl>
    <w:p w14:paraId="5B12D23E"/>
    <w:sectPr>
      <w:headerReference r:id="rId3" w:type="default"/>
      <w:pgSz w:w="11907" w:h="16839"/>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392EF">
    <w:pPr>
      <w:pStyle w:val="4"/>
      <w:rPr>
        <w:rFonts w:hint="eastAsia" w:ascii="宋体" w:hAnsi="宋体"/>
        <w:bCs/>
        <w:iCs/>
        <w:sz w:val="21"/>
        <w:szCs w:val="21"/>
      </w:rPr>
    </w:pPr>
    <w:r>
      <w:rPr>
        <w:rFonts w:hint="eastAsia" w:ascii="宋体" w:hAnsi="宋体"/>
        <w:bCs/>
        <w:iCs/>
        <w:sz w:val="21"/>
        <w:szCs w:val="21"/>
      </w:rPr>
      <w:t>证券代码：60</w:t>
    </w:r>
    <w:r>
      <w:rPr>
        <w:rFonts w:ascii="宋体" w:hAnsi="宋体"/>
        <w:bCs/>
        <w:iCs/>
        <w:sz w:val="21"/>
        <w:szCs w:val="21"/>
      </w:rPr>
      <w:t>3</w:t>
    </w:r>
    <w:r>
      <w:rPr>
        <w:rFonts w:hint="eastAsia" w:ascii="宋体" w:hAnsi="宋体"/>
        <w:bCs/>
        <w:iCs/>
        <w:sz w:val="21"/>
        <w:szCs w:val="21"/>
      </w:rPr>
      <w:t xml:space="preserve">725  </w:t>
    </w:r>
    <w:r>
      <w:rPr>
        <w:rFonts w:ascii="宋体" w:hAnsi="宋体"/>
        <w:bCs/>
        <w:iCs/>
        <w:sz w:val="21"/>
        <w:szCs w:val="21"/>
      </w:rPr>
      <w:t xml:space="preserve">                         </w:t>
    </w:r>
    <w:r>
      <w:rPr>
        <w:rFonts w:hint="eastAsia" w:ascii="宋体" w:hAnsi="宋体"/>
        <w:bCs/>
        <w:iCs/>
        <w:sz w:val="21"/>
        <w:szCs w:val="21"/>
      </w:rPr>
      <w:t xml:space="preserve">         证券简称：天安新材</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57A49"/>
    <w:multiLevelType w:val="multilevel"/>
    <w:tmpl w:val="5CA57A49"/>
    <w:lvl w:ilvl="0" w:tentative="0">
      <w:start w:val="1"/>
      <w:numFmt w:val="japaneseCounting"/>
      <w:lvlText w:val="%1、"/>
      <w:lvlJc w:val="left"/>
      <w:pPr>
        <w:ind w:left="510" w:hanging="51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8"/>
    <w:rsid w:val="000157FD"/>
    <w:rsid w:val="000245CA"/>
    <w:rsid w:val="000450A9"/>
    <w:rsid w:val="00063073"/>
    <w:rsid w:val="000754B4"/>
    <w:rsid w:val="0007568B"/>
    <w:rsid w:val="00080F2B"/>
    <w:rsid w:val="000849BA"/>
    <w:rsid w:val="000A31DA"/>
    <w:rsid w:val="000A79FB"/>
    <w:rsid w:val="000A7E4A"/>
    <w:rsid w:val="000B1C14"/>
    <w:rsid w:val="000B75A7"/>
    <w:rsid w:val="000D00C7"/>
    <w:rsid w:val="000D3A79"/>
    <w:rsid w:val="000D56FE"/>
    <w:rsid w:val="000F18AF"/>
    <w:rsid w:val="000F4DD6"/>
    <w:rsid w:val="001024E5"/>
    <w:rsid w:val="00106147"/>
    <w:rsid w:val="00113B34"/>
    <w:rsid w:val="00130C40"/>
    <w:rsid w:val="001337F9"/>
    <w:rsid w:val="0013500E"/>
    <w:rsid w:val="001439BE"/>
    <w:rsid w:val="00143F94"/>
    <w:rsid w:val="001502E6"/>
    <w:rsid w:val="00155B3C"/>
    <w:rsid w:val="001722F3"/>
    <w:rsid w:val="00173E13"/>
    <w:rsid w:val="00174F18"/>
    <w:rsid w:val="00175757"/>
    <w:rsid w:val="00192E4E"/>
    <w:rsid w:val="00194834"/>
    <w:rsid w:val="001A467E"/>
    <w:rsid w:val="001B1A53"/>
    <w:rsid w:val="001C3480"/>
    <w:rsid w:val="001C6A4B"/>
    <w:rsid w:val="001D2DB1"/>
    <w:rsid w:val="001D369A"/>
    <w:rsid w:val="001D3916"/>
    <w:rsid w:val="001D4AAE"/>
    <w:rsid w:val="001D6BFE"/>
    <w:rsid w:val="001F10A8"/>
    <w:rsid w:val="001F4DDD"/>
    <w:rsid w:val="00214491"/>
    <w:rsid w:val="00220AEA"/>
    <w:rsid w:val="00225393"/>
    <w:rsid w:val="002312D7"/>
    <w:rsid w:val="00231727"/>
    <w:rsid w:val="00232BC1"/>
    <w:rsid w:val="00246187"/>
    <w:rsid w:val="0025317F"/>
    <w:rsid w:val="00273315"/>
    <w:rsid w:val="002C5EEF"/>
    <w:rsid w:val="002D1265"/>
    <w:rsid w:val="002D200D"/>
    <w:rsid w:val="002D39A7"/>
    <w:rsid w:val="002D7DA7"/>
    <w:rsid w:val="003063E5"/>
    <w:rsid w:val="00312F15"/>
    <w:rsid w:val="00320994"/>
    <w:rsid w:val="003262D5"/>
    <w:rsid w:val="00333001"/>
    <w:rsid w:val="0033336C"/>
    <w:rsid w:val="00340B1B"/>
    <w:rsid w:val="0035062B"/>
    <w:rsid w:val="00352F7F"/>
    <w:rsid w:val="003542D7"/>
    <w:rsid w:val="00371229"/>
    <w:rsid w:val="00374563"/>
    <w:rsid w:val="00395D4D"/>
    <w:rsid w:val="003B1E53"/>
    <w:rsid w:val="003B5E23"/>
    <w:rsid w:val="003E102C"/>
    <w:rsid w:val="003E2689"/>
    <w:rsid w:val="003E59F4"/>
    <w:rsid w:val="003F122F"/>
    <w:rsid w:val="003F4018"/>
    <w:rsid w:val="003F43A4"/>
    <w:rsid w:val="003F4561"/>
    <w:rsid w:val="00404F68"/>
    <w:rsid w:val="00415156"/>
    <w:rsid w:val="004425B5"/>
    <w:rsid w:val="00444B9F"/>
    <w:rsid w:val="00465489"/>
    <w:rsid w:val="00474FCD"/>
    <w:rsid w:val="0047613C"/>
    <w:rsid w:val="00497936"/>
    <w:rsid w:val="004B1A37"/>
    <w:rsid w:val="004B1BED"/>
    <w:rsid w:val="004D363E"/>
    <w:rsid w:val="004E2B0F"/>
    <w:rsid w:val="004F55D1"/>
    <w:rsid w:val="004F612C"/>
    <w:rsid w:val="00512B00"/>
    <w:rsid w:val="005266F5"/>
    <w:rsid w:val="005275C3"/>
    <w:rsid w:val="00532CF0"/>
    <w:rsid w:val="0054754D"/>
    <w:rsid w:val="00547B0C"/>
    <w:rsid w:val="00550366"/>
    <w:rsid w:val="00572AFC"/>
    <w:rsid w:val="005736DE"/>
    <w:rsid w:val="00575FE1"/>
    <w:rsid w:val="005821BB"/>
    <w:rsid w:val="005846A6"/>
    <w:rsid w:val="0058766F"/>
    <w:rsid w:val="0059105E"/>
    <w:rsid w:val="005A47A2"/>
    <w:rsid w:val="005B17F9"/>
    <w:rsid w:val="005C77BC"/>
    <w:rsid w:val="005D293A"/>
    <w:rsid w:val="005E7547"/>
    <w:rsid w:val="005F359B"/>
    <w:rsid w:val="005F503A"/>
    <w:rsid w:val="00611486"/>
    <w:rsid w:val="00612EFB"/>
    <w:rsid w:val="0061358F"/>
    <w:rsid w:val="00613C16"/>
    <w:rsid w:val="00627797"/>
    <w:rsid w:val="00640A3C"/>
    <w:rsid w:val="00642CF8"/>
    <w:rsid w:val="00645FCE"/>
    <w:rsid w:val="006468F7"/>
    <w:rsid w:val="00654A0F"/>
    <w:rsid w:val="00667A84"/>
    <w:rsid w:val="00684FFB"/>
    <w:rsid w:val="00686ADF"/>
    <w:rsid w:val="006870FD"/>
    <w:rsid w:val="006C0777"/>
    <w:rsid w:val="006C2175"/>
    <w:rsid w:val="006D524A"/>
    <w:rsid w:val="006D58E8"/>
    <w:rsid w:val="006E7E43"/>
    <w:rsid w:val="006F0CFA"/>
    <w:rsid w:val="006F0D58"/>
    <w:rsid w:val="006F5D79"/>
    <w:rsid w:val="0072048B"/>
    <w:rsid w:val="00736D7F"/>
    <w:rsid w:val="00752C09"/>
    <w:rsid w:val="00762AF4"/>
    <w:rsid w:val="00774DCC"/>
    <w:rsid w:val="00775F2E"/>
    <w:rsid w:val="007819D5"/>
    <w:rsid w:val="00786334"/>
    <w:rsid w:val="00786BC2"/>
    <w:rsid w:val="007919B0"/>
    <w:rsid w:val="007A786C"/>
    <w:rsid w:val="007C57FF"/>
    <w:rsid w:val="007D371E"/>
    <w:rsid w:val="007E334D"/>
    <w:rsid w:val="007E6C40"/>
    <w:rsid w:val="00807DF7"/>
    <w:rsid w:val="00812FFA"/>
    <w:rsid w:val="00817A24"/>
    <w:rsid w:val="00821EFA"/>
    <w:rsid w:val="008403C3"/>
    <w:rsid w:val="00851660"/>
    <w:rsid w:val="00860925"/>
    <w:rsid w:val="0086439C"/>
    <w:rsid w:val="008713D8"/>
    <w:rsid w:val="00872CDE"/>
    <w:rsid w:val="0087466F"/>
    <w:rsid w:val="00877D67"/>
    <w:rsid w:val="00883B7B"/>
    <w:rsid w:val="008865DC"/>
    <w:rsid w:val="0089641D"/>
    <w:rsid w:val="008A0B53"/>
    <w:rsid w:val="008A17AA"/>
    <w:rsid w:val="008A7858"/>
    <w:rsid w:val="008B255D"/>
    <w:rsid w:val="008F1A7E"/>
    <w:rsid w:val="008F31B0"/>
    <w:rsid w:val="008F3A0C"/>
    <w:rsid w:val="0090042E"/>
    <w:rsid w:val="0091762C"/>
    <w:rsid w:val="009234B9"/>
    <w:rsid w:val="00923FA7"/>
    <w:rsid w:val="00941E2C"/>
    <w:rsid w:val="00947DE7"/>
    <w:rsid w:val="00957F83"/>
    <w:rsid w:val="009648A3"/>
    <w:rsid w:val="0098031D"/>
    <w:rsid w:val="009829C7"/>
    <w:rsid w:val="0099128B"/>
    <w:rsid w:val="00992438"/>
    <w:rsid w:val="00993947"/>
    <w:rsid w:val="009B06B8"/>
    <w:rsid w:val="009B0E89"/>
    <w:rsid w:val="009B52CC"/>
    <w:rsid w:val="009D6411"/>
    <w:rsid w:val="009E11A3"/>
    <w:rsid w:val="009E1A7B"/>
    <w:rsid w:val="009F00AB"/>
    <w:rsid w:val="00A001F8"/>
    <w:rsid w:val="00A0553C"/>
    <w:rsid w:val="00A1617C"/>
    <w:rsid w:val="00A2592E"/>
    <w:rsid w:val="00A34AF5"/>
    <w:rsid w:val="00A374E6"/>
    <w:rsid w:val="00A37B2D"/>
    <w:rsid w:val="00A51181"/>
    <w:rsid w:val="00A607A4"/>
    <w:rsid w:val="00A60AEF"/>
    <w:rsid w:val="00A641FB"/>
    <w:rsid w:val="00A767D4"/>
    <w:rsid w:val="00A7755E"/>
    <w:rsid w:val="00A7759C"/>
    <w:rsid w:val="00A82C5F"/>
    <w:rsid w:val="00A8341B"/>
    <w:rsid w:val="00A90EC7"/>
    <w:rsid w:val="00A91C76"/>
    <w:rsid w:val="00AC0959"/>
    <w:rsid w:val="00AD039E"/>
    <w:rsid w:val="00AD0F41"/>
    <w:rsid w:val="00AE4E56"/>
    <w:rsid w:val="00AF0224"/>
    <w:rsid w:val="00AF7C3D"/>
    <w:rsid w:val="00AF7F31"/>
    <w:rsid w:val="00B0652E"/>
    <w:rsid w:val="00B07A7E"/>
    <w:rsid w:val="00B241D3"/>
    <w:rsid w:val="00B27C5C"/>
    <w:rsid w:val="00B352B6"/>
    <w:rsid w:val="00B37C8E"/>
    <w:rsid w:val="00B37D1E"/>
    <w:rsid w:val="00B504EB"/>
    <w:rsid w:val="00B54BB7"/>
    <w:rsid w:val="00B54D2F"/>
    <w:rsid w:val="00B65713"/>
    <w:rsid w:val="00B7542F"/>
    <w:rsid w:val="00BA1952"/>
    <w:rsid w:val="00BA1A55"/>
    <w:rsid w:val="00BA78D9"/>
    <w:rsid w:val="00BD0516"/>
    <w:rsid w:val="00BD096D"/>
    <w:rsid w:val="00BD2277"/>
    <w:rsid w:val="00C140EC"/>
    <w:rsid w:val="00C17D24"/>
    <w:rsid w:val="00C25E7A"/>
    <w:rsid w:val="00C44A3A"/>
    <w:rsid w:val="00C50940"/>
    <w:rsid w:val="00C52AF1"/>
    <w:rsid w:val="00C56033"/>
    <w:rsid w:val="00C65777"/>
    <w:rsid w:val="00C66E2E"/>
    <w:rsid w:val="00C73448"/>
    <w:rsid w:val="00C84344"/>
    <w:rsid w:val="00CB7B99"/>
    <w:rsid w:val="00CC384A"/>
    <w:rsid w:val="00CD4E73"/>
    <w:rsid w:val="00CD74DE"/>
    <w:rsid w:val="00CF19F9"/>
    <w:rsid w:val="00CF6EB7"/>
    <w:rsid w:val="00D13A50"/>
    <w:rsid w:val="00D1672D"/>
    <w:rsid w:val="00D239AB"/>
    <w:rsid w:val="00D25FC2"/>
    <w:rsid w:val="00D336F2"/>
    <w:rsid w:val="00D35953"/>
    <w:rsid w:val="00D35C2F"/>
    <w:rsid w:val="00D56E9D"/>
    <w:rsid w:val="00D66034"/>
    <w:rsid w:val="00D70F87"/>
    <w:rsid w:val="00D80003"/>
    <w:rsid w:val="00D87A9B"/>
    <w:rsid w:val="00DA1244"/>
    <w:rsid w:val="00DA214C"/>
    <w:rsid w:val="00DA75A1"/>
    <w:rsid w:val="00DB0AE8"/>
    <w:rsid w:val="00DC3BE2"/>
    <w:rsid w:val="00DC6C00"/>
    <w:rsid w:val="00DD2324"/>
    <w:rsid w:val="00DD4F16"/>
    <w:rsid w:val="00DF0471"/>
    <w:rsid w:val="00DF4543"/>
    <w:rsid w:val="00DF7207"/>
    <w:rsid w:val="00DF77E6"/>
    <w:rsid w:val="00E02D30"/>
    <w:rsid w:val="00E0677D"/>
    <w:rsid w:val="00E109A7"/>
    <w:rsid w:val="00E11054"/>
    <w:rsid w:val="00E1547C"/>
    <w:rsid w:val="00E40C1C"/>
    <w:rsid w:val="00E44458"/>
    <w:rsid w:val="00E50677"/>
    <w:rsid w:val="00E52047"/>
    <w:rsid w:val="00E62974"/>
    <w:rsid w:val="00E763EC"/>
    <w:rsid w:val="00E81BEF"/>
    <w:rsid w:val="00E84B35"/>
    <w:rsid w:val="00E906D5"/>
    <w:rsid w:val="00EC6CF7"/>
    <w:rsid w:val="00EF2C4F"/>
    <w:rsid w:val="00F006DC"/>
    <w:rsid w:val="00F069B6"/>
    <w:rsid w:val="00F24EE3"/>
    <w:rsid w:val="00F30B51"/>
    <w:rsid w:val="00F46166"/>
    <w:rsid w:val="00F54E81"/>
    <w:rsid w:val="00F564A0"/>
    <w:rsid w:val="00F60C0E"/>
    <w:rsid w:val="00F733B4"/>
    <w:rsid w:val="00F737B7"/>
    <w:rsid w:val="00F77FD2"/>
    <w:rsid w:val="00F82D1E"/>
    <w:rsid w:val="00F83012"/>
    <w:rsid w:val="00F83D23"/>
    <w:rsid w:val="00F85525"/>
    <w:rsid w:val="00F934AD"/>
    <w:rsid w:val="00F96DAA"/>
    <w:rsid w:val="00FA3967"/>
    <w:rsid w:val="00FB5EE6"/>
    <w:rsid w:val="00FC29B2"/>
    <w:rsid w:val="00FC51E6"/>
    <w:rsid w:val="00FD03A8"/>
    <w:rsid w:val="00FD3B33"/>
    <w:rsid w:val="00FD68D8"/>
    <w:rsid w:val="00FF321C"/>
    <w:rsid w:val="01A87AFF"/>
    <w:rsid w:val="01AC619B"/>
    <w:rsid w:val="029E1705"/>
    <w:rsid w:val="02BB6852"/>
    <w:rsid w:val="031418F0"/>
    <w:rsid w:val="03536EC3"/>
    <w:rsid w:val="03681C3C"/>
    <w:rsid w:val="037B54CB"/>
    <w:rsid w:val="043B10FF"/>
    <w:rsid w:val="046425BE"/>
    <w:rsid w:val="04785EAF"/>
    <w:rsid w:val="04D806FC"/>
    <w:rsid w:val="04F66000"/>
    <w:rsid w:val="05446477"/>
    <w:rsid w:val="05942874"/>
    <w:rsid w:val="06293733"/>
    <w:rsid w:val="068C65AB"/>
    <w:rsid w:val="06C4775E"/>
    <w:rsid w:val="073360BD"/>
    <w:rsid w:val="07397B77"/>
    <w:rsid w:val="074262C5"/>
    <w:rsid w:val="07697D31"/>
    <w:rsid w:val="079923C4"/>
    <w:rsid w:val="07A019A5"/>
    <w:rsid w:val="07A174CB"/>
    <w:rsid w:val="07C30AFD"/>
    <w:rsid w:val="07F7533D"/>
    <w:rsid w:val="08057A5A"/>
    <w:rsid w:val="082A74C0"/>
    <w:rsid w:val="08986B20"/>
    <w:rsid w:val="08A74FB5"/>
    <w:rsid w:val="08C16076"/>
    <w:rsid w:val="08F24482"/>
    <w:rsid w:val="09075A53"/>
    <w:rsid w:val="091C4F8C"/>
    <w:rsid w:val="09436A8B"/>
    <w:rsid w:val="0973209F"/>
    <w:rsid w:val="098827C8"/>
    <w:rsid w:val="0A474359"/>
    <w:rsid w:val="0A6B58A5"/>
    <w:rsid w:val="0AB3379D"/>
    <w:rsid w:val="0B0D1E69"/>
    <w:rsid w:val="0B884C29"/>
    <w:rsid w:val="0C831895"/>
    <w:rsid w:val="0CC02A05"/>
    <w:rsid w:val="0CC5375D"/>
    <w:rsid w:val="0CDD0FA5"/>
    <w:rsid w:val="0CF46A23"/>
    <w:rsid w:val="0D662534"/>
    <w:rsid w:val="0D763030"/>
    <w:rsid w:val="0D8C0298"/>
    <w:rsid w:val="0DAB40F0"/>
    <w:rsid w:val="0DCB0A0E"/>
    <w:rsid w:val="0E1D789D"/>
    <w:rsid w:val="0E2D3866"/>
    <w:rsid w:val="0E682AF0"/>
    <w:rsid w:val="0EC202DE"/>
    <w:rsid w:val="0F1D392A"/>
    <w:rsid w:val="0F5355AE"/>
    <w:rsid w:val="0F696B20"/>
    <w:rsid w:val="0FB5289B"/>
    <w:rsid w:val="0FBB2F4F"/>
    <w:rsid w:val="0FCE0E92"/>
    <w:rsid w:val="11AB1672"/>
    <w:rsid w:val="11B00A36"/>
    <w:rsid w:val="11DF30C9"/>
    <w:rsid w:val="12906AB9"/>
    <w:rsid w:val="12B27644"/>
    <w:rsid w:val="12EB7235"/>
    <w:rsid w:val="130D1EB8"/>
    <w:rsid w:val="13631D30"/>
    <w:rsid w:val="13D529D6"/>
    <w:rsid w:val="141F555F"/>
    <w:rsid w:val="150A2B53"/>
    <w:rsid w:val="15DB2014"/>
    <w:rsid w:val="15DB629E"/>
    <w:rsid w:val="16337E88"/>
    <w:rsid w:val="163D2AB4"/>
    <w:rsid w:val="16565924"/>
    <w:rsid w:val="165A3666"/>
    <w:rsid w:val="16836428"/>
    <w:rsid w:val="16AE750E"/>
    <w:rsid w:val="173043C7"/>
    <w:rsid w:val="17B9468F"/>
    <w:rsid w:val="17D226D6"/>
    <w:rsid w:val="17D82A95"/>
    <w:rsid w:val="18D55226"/>
    <w:rsid w:val="18DE3F5F"/>
    <w:rsid w:val="194D300E"/>
    <w:rsid w:val="19BD0194"/>
    <w:rsid w:val="19FE21FC"/>
    <w:rsid w:val="1A3C637F"/>
    <w:rsid w:val="1AFF47DC"/>
    <w:rsid w:val="1B2B3823"/>
    <w:rsid w:val="1B3E5305"/>
    <w:rsid w:val="1B733202"/>
    <w:rsid w:val="1B8371BB"/>
    <w:rsid w:val="1C136517"/>
    <w:rsid w:val="1C3B2397"/>
    <w:rsid w:val="1C664547"/>
    <w:rsid w:val="1C6C5EA1"/>
    <w:rsid w:val="1CD51C99"/>
    <w:rsid w:val="1D3A5FA0"/>
    <w:rsid w:val="1D533C1F"/>
    <w:rsid w:val="1E18008F"/>
    <w:rsid w:val="1E182ECA"/>
    <w:rsid w:val="1EA062D6"/>
    <w:rsid w:val="1EA336D1"/>
    <w:rsid w:val="1EB17343"/>
    <w:rsid w:val="1F6E1F30"/>
    <w:rsid w:val="1F8A78EA"/>
    <w:rsid w:val="1FD94245"/>
    <w:rsid w:val="20601879"/>
    <w:rsid w:val="20BB0071"/>
    <w:rsid w:val="20DF30E6"/>
    <w:rsid w:val="20F84E09"/>
    <w:rsid w:val="211C2557"/>
    <w:rsid w:val="21333432"/>
    <w:rsid w:val="21B84BEB"/>
    <w:rsid w:val="22205764"/>
    <w:rsid w:val="22917AEB"/>
    <w:rsid w:val="2305495A"/>
    <w:rsid w:val="23137077"/>
    <w:rsid w:val="23AE6D9F"/>
    <w:rsid w:val="23B31F24"/>
    <w:rsid w:val="23C73B1B"/>
    <w:rsid w:val="23CD7676"/>
    <w:rsid w:val="24961D0D"/>
    <w:rsid w:val="24FA129A"/>
    <w:rsid w:val="25407ECB"/>
    <w:rsid w:val="259734E4"/>
    <w:rsid w:val="25A4045A"/>
    <w:rsid w:val="25FD7B6A"/>
    <w:rsid w:val="262D3FA9"/>
    <w:rsid w:val="262E03B6"/>
    <w:rsid w:val="26493BE3"/>
    <w:rsid w:val="26527EB6"/>
    <w:rsid w:val="266F2816"/>
    <w:rsid w:val="267B7D64"/>
    <w:rsid w:val="269D41C7"/>
    <w:rsid w:val="26A5448A"/>
    <w:rsid w:val="26AB5818"/>
    <w:rsid w:val="26C64400"/>
    <w:rsid w:val="26ED0DC9"/>
    <w:rsid w:val="27092D0A"/>
    <w:rsid w:val="27930786"/>
    <w:rsid w:val="279A0157"/>
    <w:rsid w:val="28172612"/>
    <w:rsid w:val="289B0BA8"/>
    <w:rsid w:val="28E6709C"/>
    <w:rsid w:val="29254939"/>
    <w:rsid w:val="29785E86"/>
    <w:rsid w:val="29946A38"/>
    <w:rsid w:val="29CF181E"/>
    <w:rsid w:val="29EC3DAC"/>
    <w:rsid w:val="2A010E51"/>
    <w:rsid w:val="2A264090"/>
    <w:rsid w:val="2A355B25"/>
    <w:rsid w:val="2A5C7555"/>
    <w:rsid w:val="2A62278A"/>
    <w:rsid w:val="2A6C52BE"/>
    <w:rsid w:val="2A8F3DB3"/>
    <w:rsid w:val="2B520958"/>
    <w:rsid w:val="2B6F28F5"/>
    <w:rsid w:val="2B6F55CF"/>
    <w:rsid w:val="2BD466CA"/>
    <w:rsid w:val="2BE02C40"/>
    <w:rsid w:val="2BEB6DE3"/>
    <w:rsid w:val="2C043A01"/>
    <w:rsid w:val="2C3E47E1"/>
    <w:rsid w:val="2C531232"/>
    <w:rsid w:val="2CA07839"/>
    <w:rsid w:val="2D047A30"/>
    <w:rsid w:val="2D2D6F87"/>
    <w:rsid w:val="2DA76D39"/>
    <w:rsid w:val="2DEC6DA9"/>
    <w:rsid w:val="2E05033D"/>
    <w:rsid w:val="2E2C5491"/>
    <w:rsid w:val="2E8059FB"/>
    <w:rsid w:val="2E9D1A0C"/>
    <w:rsid w:val="2F430CE4"/>
    <w:rsid w:val="2F5C0D51"/>
    <w:rsid w:val="2FDA77E1"/>
    <w:rsid w:val="300C2A60"/>
    <w:rsid w:val="300D72CC"/>
    <w:rsid w:val="30405223"/>
    <w:rsid w:val="30B978AD"/>
    <w:rsid w:val="31081922"/>
    <w:rsid w:val="314174A5"/>
    <w:rsid w:val="31464ABB"/>
    <w:rsid w:val="3154611C"/>
    <w:rsid w:val="318E3088"/>
    <w:rsid w:val="31A11CF2"/>
    <w:rsid w:val="31BD23A5"/>
    <w:rsid w:val="31CD6F8B"/>
    <w:rsid w:val="32084224"/>
    <w:rsid w:val="323E5792"/>
    <w:rsid w:val="32496611"/>
    <w:rsid w:val="32B02AEC"/>
    <w:rsid w:val="332E1CAB"/>
    <w:rsid w:val="337726A7"/>
    <w:rsid w:val="338D077F"/>
    <w:rsid w:val="33C30645"/>
    <w:rsid w:val="33DE760F"/>
    <w:rsid w:val="34044EE1"/>
    <w:rsid w:val="34207846"/>
    <w:rsid w:val="35BC359E"/>
    <w:rsid w:val="35FB603C"/>
    <w:rsid w:val="362115CD"/>
    <w:rsid w:val="365E4F6F"/>
    <w:rsid w:val="36D6243D"/>
    <w:rsid w:val="3747259D"/>
    <w:rsid w:val="375A659B"/>
    <w:rsid w:val="37620175"/>
    <w:rsid w:val="37950099"/>
    <w:rsid w:val="379D2F5B"/>
    <w:rsid w:val="37AE4A52"/>
    <w:rsid w:val="38C40AA6"/>
    <w:rsid w:val="38DB60E6"/>
    <w:rsid w:val="39194863"/>
    <w:rsid w:val="39740540"/>
    <w:rsid w:val="39822409"/>
    <w:rsid w:val="3A045513"/>
    <w:rsid w:val="3A3C4CAD"/>
    <w:rsid w:val="3A576901"/>
    <w:rsid w:val="3A663AD8"/>
    <w:rsid w:val="3B017004"/>
    <w:rsid w:val="3B3140E6"/>
    <w:rsid w:val="3B5953EB"/>
    <w:rsid w:val="3BDC04F6"/>
    <w:rsid w:val="3BF764BC"/>
    <w:rsid w:val="3C522566"/>
    <w:rsid w:val="3C7624CD"/>
    <w:rsid w:val="3CC1149A"/>
    <w:rsid w:val="3D032B65"/>
    <w:rsid w:val="3D7C3859"/>
    <w:rsid w:val="3EE80F60"/>
    <w:rsid w:val="3F073ADC"/>
    <w:rsid w:val="3F251488"/>
    <w:rsid w:val="3F43088C"/>
    <w:rsid w:val="4027003D"/>
    <w:rsid w:val="40642868"/>
    <w:rsid w:val="40793110"/>
    <w:rsid w:val="40D4373D"/>
    <w:rsid w:val="40D5502B"/>
    <w:rsid w:val="41A53138"/>
    <w:rsid w:val="41AB4B00"/>
    <w:rsid w:val="41EA3241"/>
    <w:rsid w:val="42502B41"/>
    <w:rsid w:val="425D1C65"/>
    <w:rsid w:val="4262727B"/>
    <w:rsid w:val="42674EE5"/>
    <w:rsid w:val="42D42037"/>
    <w:rsid w:val="42DC0504"/>
    <w:rsid w:val="42E303BC"/>
    <w:rsid w:val="43103BB7"/>
    <w:rsid w:val="43616E7D"/>
    <w:rsid w:val="43747266"/>
    <w:rsid w:val="438F661B"/>
    <w:rsid w:val="439518B3"/>
    <w:rsid w:val="43B458B4"/>
    <w:rsid w:val="446F063A"/>
    <w:rsid w:val="44B6499C"/>
    <w:rsid w:val="4542345E"/>
    <w:rsid w:val="45570BED"/>
    <w:rsid w:val="45765089"/>
    <w:rsid w:val="45AA51C1"/>
    <w:rsid w:val="461F178B"/>
    <w:rsid w:val="462036D5"/>
    <w:rsid w:val="46C24BA5"/>
    <w:rsid w:val="474A3B9E"/>
    <w:rsid w:val="47C003E5"/>
    <w:rsid w:val="47CC58C3"/>
    <w:rsid w:val="483671E0"/>
    <w:rsid w:val="4848391D"/>
    <w:rsid w:val="48BB1493"/>
    <w:rsid w:val="48D16F09"/>
    <w:rsid w:val="48EF7956"/>
    <w:rsid w:val="4A8F0E29"/>
    <w:rsid w:val="4AD056CA"/>
    <w:rsid w:val="4B4B1FAE"/>
    <w:rsid w:val="4BB62FE7"/>
    <w:rsid w:val="4BC87E8A"/>
    <w:rsid w:val="4BE11A5A"/>
    <w:rsid w:val="4C97785C"/>
    <w:rsid w:val="4CA67C81"/>
    <w:rsid w:val="4CEA7E6E"/>
    <w:rsid w:val="4D151ABA"/>
    <w:rsid w:val="4D461C73"/>
    <w:rsid w:val="4E345F70"/>
    <w:rsid w:val="4E946A0E"/>
    <w:rsid w:val="4ECF65DB"/>
    <w:rsid w:val="4EDD2163"/>
    <w:rsid w:val="4F1F277C"/>
    <w:rsid w:val="4FB355BA"/>
    <w:rsid w:val="503404A9"/>
    <w:rsid w:val="50504A55"/>
    <w:rsid w:val="50874A7C"/>
    <w:rsid w:val="50A607F3"/>
    <w:rsid w:val="50B11AF9"/>
    <w:rsid w:val="50D86F9C"/>
    <w:rsid w:val="50EF2A97"/>
    <w:rsid w:val="511856D5"/>
    <w:rsid w:val="51256932"/>
    <w:rsid w:val="51A74EF3"/>
    <w:rsid w:val="523F3135"/>
    <w:rsid w:val="526D18EF"/>
    <w:rsid w:val="52913E6A"/>
    <w:rsid w:val="529C5288"/>
    <w:rsid w:val="529F6FA1"/>
    <w:rsid w:val="52A95399"/>
    <w:rsid w:val="53797153"/>
    <w:rsid w:val="541C54DC"/>
    <w:rsid w:val="548A4FF6"/>
    <w:rsid w:val="54C448CE"/>
    <w:rsid w:val="54E3249D"/>
    <w:rsid w:val="551663CF"/>
    <w:rsid w:val="5520724E"/>
    <w:rsid w:val="5578402A"/>
    <w:rsid w:val="559612BE"/>
    <w:rsid w:val="55B0580B"/>
    <w:rsid w:val="55E26BF6"/>
    <w:rsid w:val="568357E0"/>
    <w:rsid w:val="56C02A96"/>
    <w:rsid w:val="56FE536D"/>
    <w:rsid w:val="57396CFC"/>
    <w:rsid w:val="57546EDB"/>
    <w:rsid w:val="57824451"/>
    <w:rsid w:val="581035A9"/>
    <w:rsid w:val="584063F0"/>
    <w:rsid w:val="58F85DEC"/>
    <w:rsid w:val="59013441"/>
    <w:rsid w:val="5909268A"/>
    <w:rsid w:val="59193CBA"/>
    <w:rsid w:val="59853B23"/>
    <w:rsid w:val="5A2E0922"/>
    <w:rsid w:val="5A5B12B5"/>
    <w:rsid w:val="5A997C79"/>
    <w:rsid w:val="5AD7215D"/>
    <w:rsid w:val="5ADB40AE"/>
    <w:rsid w:val="5B0647F0"/>
    <w:rsid w:val="5B19266E"/>
    <w:rsid w:val="5B8B1199"/>
    <w:rsid w:val="5BB04C2C"/>
    <w:rsid w:val="5BC53F6F"/>
    <w:rsid w:val="5C2313D1"/>
    <w:rsid w:val="5C867FAD"/>
    <w:rsid w:val="5D4810F0"/>
    <w:rsid w:val="5D647EF4"/>
    <w:rsid w:val="5E197728"/>
    <w:rsid w:val="5E3D517E"/>
    <w:rsid w:val="5E4E6523"/>
    <w:rsid w:val="5F313E05"/>
    <w:rsid w:val="5F4B4EC7"/>
    <w:rsid w:val="5FBC2EAC"/>
    <w:rsid w:val="5FC609F2"/>
    <w:rsid w:val="5FC77BFC"/>
    <w:rsid w:val="60092CBB"/>
    <w:rsid w:val="606A72E3"/>
    <w:rsid w:val="61355C29"/>
    <w:rsid w:val="614147D4"/>
    <w:rsid w:val="618525F4"/>
    <w:rsid w:val="61B52BB6"/>
    <w:rsid w:val="61E909C7"/>
    <w:rsid w:val="61F665F1"/>
    <w:rsid w:val="622F287E"/>
    <w:rsid w:val="624A590A"/>
    <w:rsid w:val="6256605D"/>
    <w:rsid w:val="62681703"/>
    <w:rsid w:val="62B72874"/>
    <w:rsid w:val="62C31A1B"/>
    <w:rsid w:val="62F810E9"/>
    <w:rsid w:val="63204010"/>
    <w:rsid w:val="63442359"/>
    <w:rsid w:val="635822A8"/>
    <w:rsid w:val="63F7386F"/>
    <w:rsid w:val="64124205"/>
    <w:rsid w:val="648D1ADE"/>
    <w:rsid w:val="64E8140A"/>
    <w:rsid w:val="651A2071"/>
    <w:rsid w:val="660202AA"/>
    <w:rsid w:val="66546D57"/>
    <w:rsid w:val="665713CF"/>
    <w:rsid w:val="66E12EB4"/>
    <w:rsid w:val="66FE4F15"/>
    <w:rsid w:val="67277FC8"/>
    <w:rsid w:val="67535261"/>
    <w:rsid w:val="677956E9"/>
    <w:rsid w:val="67952A23"/>
    <w:rsid w:val="67A54D96"/>
    <w:rsid w:val="68843049"/>
    <w:rsid w:val="68905759"/>
    <w:rsid w:val="68EB3277"/>
    <w:rsid w:val="693966D8"/>
    <w:rsid w:val="69450B30"/>
    <w:rsid w:val="695D5F23"/>
    <w:rsid w:val="698A0CE2"/>
    <w:rsid w:val="698E7C07"/>
    <w:rsid w:val="699C2263"/>
    <w:rsid w:val="69FC44B0"/>
    <w:rsid w:val="6A221CCC"/>
    <w:rsid w:val="6AA12AE5"/>
    <w:rsid w:val="6B457299"/>
    <w:rsid w:val="6B713F07"/>
    <w:rsid w:val="6B924C11"/>
    <w:rsid w:val="6BF50006"/>
    <w:rsid w:val="6C3D64DF"/>
    <w:rsid w:val="6CA634AC"/>
    <w:rsid w:val="6CD90324"/>
    <w:rsid w:val="6CEE3336"/>
    <w:rsid w:val="6D257B8B"/>
    <w:rsid w:val="6DE035C6"/>
    <w:rsid w:val="6DEF3809"/>
    <w:rsid w:val="6E0A777F"/>
    <w:rsid w:val="6E0E1190"/>
    <w:rsid w:val="6E427DDD"/>
    <w:rsid w:val="6E527FB0"/>
    <w:rsid w:val="6EC439C2"/>
    <w:rsid w:val="6EE60768"/>
    <w:rsid w:val="6F135C71"/>
    <w:rsid w:val="6F1572A0"/>
    <w:rsid w:val="6F1D0EF1"/>
    <w:rsid w:val="6F467459"/>
    <w:rsid w:val="6F80296B"/>
    <w:rsid w:val="6FCF744E"/>
    <w:rsid w:val="6FFB1610"/>
    <w:rsid w:val="700A0487"/>
    <w:rsid w:val="70FA6D46"/>
    <w:rsid w:val="71213CDA"/>
    <w:rsid w:val="716B31A7"/>
    <w:rsid w:val="717643E7"/>
    <w:rsid w:val="726273B2"/>
    <w:rsid w:val="72802C82"/>
    <w:rsid w:val="72835DCF"/>
    <w:rsid w:val="72897D89"/>
    <w:rsid w:val="72E2393D"/>
    <w:rsid w:val="72E707EF"/>
    <w:rsid w:val="730B69EF"/>
    <w:rsid w:val="733C6F85"/>
    <w:rsid w:val="738238D4"/>
    <w:rsid w:val="73D9089C"/>
    <w:rsid w:val="7488443F"/>
    <w:rsid w:val="74B9247B"/>
    <w:rsid w:val="75151DA7"/>
    <w:rsid w:val="755F4997"/>
    <w:rsid w:val="765468FF"/>
    <w:rsid w:val="76634D94"/>
    <w:rsid w:val="768F7AF6"/>
    <w:rsid w:val="76D4314C"/>
    <w:rsid w:val="76F31C74"/>
    <w:rsid w:val="77212C85"/>
    <w:rsid w:val="7744462F"/>
    <w:rsid w:val="77470212"/>
    <w:rsid w:val="7761127E"/>
    <w:rsid w:val="77794C6D"/>
    <w:rsid w:val="781A76D5"/>
    <w:rsid w:val="781D71EE"/>
    <w:rsid w:val="78686692"/>
    <w:rsid w:val="78FD327E"/>
    <w:rsid w:val="79652BD2"/>
    <w:rsid w:val="798E588D"/>
    <w:rsid w:val="7A066163"/>
    <w:rsid w:val="7A2605B3"/>
    <w:rsid w:val="7B0D7956"/>
    <w:rsid w:val="7B742C9F"/>
    <w:rsid w:val="7BEE6EAE"/>
    <w:rsid w:val="7BF5648F"/>
    <w:rsid w:val="7BF62924"/>
    <w:rsid w:val="7C6210BC"/>
    <w:rsid w:val="7C7750F6"/>
    <w:rsid w:val="7C977546"/>
    <w:rsid w:val="7D690EE2"/>
    <w:rsid w:val="7DC9372F"/>
    <w:rsid w:val="7DDD0F99"/>
    <w:rsid w:val="7DFD162B"/>
    <w:rsid w:val="7E880E0B"/>
    <w:rsid w:val="7ED625A7"/>
    <w:rsid w:val="7F4C0323"/>
    <w:rsid w:val="7F4C4618"/>
    <w:rsid w:val="7F92054D"/>
    <w:rsid w:val="7F9B4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kern w:val="2"/>
      <w:sz w:val="18"/>
      <w:szCs w:val="18"/>
    </w:rPr>
  </w:style>
  <w:style w:type="paragraph" w:styleId="10">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1">
    <w:name w:val="批注框文本 字符"/>
    <w:basedOn w:val="7"/>
    <w:link w:val="2"/>
    <w:semiHidden/>
    <w:qFormat/>
    <w:uiPriority w:val="99"/>
    <w:rPr>
      <w:rFonts w:ascii="Times New Roman" w:hAnsi="Times New Roman"/>
      <w:kern w:val="2"/>
      <w:sz w:val="18"/>
      <w:szCs w:val="18"/>
    </w:rPr>
  </w:style>
  <w:style w:type="paragraph" w:customStyle="1" w:styleId="1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2677</Words>
  <Characters>2789</Characters>
  <Lines>1</Lines>
  <Paragraphs>1</Paragraphs>
  <TotalTime>2</TotalTime>
  <ScaleCrop>false</ScaleCrop>
  <LinksUpToDate>false</LinksUpToDate>
  <CharactersWithSpaces>2883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2023-09-22T00:44:00Z</dcterms:created>
  <dc:creator>pc</dc:creator>
  <cp:lastModifiedBy>WZ</cp:lastModifiedBy>
  <cp:lastPrinted>2017-11-06T02:12:00Z</cp:lastPrinted>
  <dcterms:modified xsi:type="dcterms:W3CDTF">2025-10-24T08:16:17Z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0F8B9BFDE05D4B62967F67DD66F7EAE7</vt:lpwstr>
  </property>
  <property fmtid="{D5CDD505-2E9C-101B-9397-08002B2CF9AE}" pid="4" name="KSOTemplateDocerSaveRecord">
    <vt:lpwstr>eyJoZGlkIjoiZmJlNTRkODU4Mzc2YjVhMzdlN2ZiN2EyZjE2YWUxN2EiLCJ1c2VySWQiOiI0MTgwNTk0NTEifQ==</vt:lpwstr>
  </property>
</Properties>
</file>