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A17C8">
      <w:pPr>
        <w:keepNext/>
        <w:keepLines/>
        <w:spacing w:before="260" w:after="260"/>
        <w:jc w:val="left"/>
        <w:outlineLvl w:val="1"/>
        <w:rPr>
          <w:rFonts w:ascii="Times New Roman" w:hAnsi="Times New Roman" w:eastAsia="宋体" w:cs="Times New Roman"/>
          <w:b/>
          <w:bCs/>
          <w:i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iCs/>
          <w:sz w:val="24"/>
          <w:szCs w:val="24"/>
        </w:rPr>
        <w:t>证券代码：605007</w:t>
      </w:r>
      <w:r>
        <w:rPr>
          <w:rFonts w:hint="eastAsia" w:ascii="Times New Roman" w:hAnsi="Times New Roman" w:eastAsia="宋体" w:cs="Times New Roman"/>
          <w:b/>
          <w:bCs/>
          <w:iCs/>
          <w:sz w:val="24"/>
          <w:szCs w:val="24"/>
          <w:lang w:val="en-US" w:eastAsia="zh-CN"/>
        </w:rPr>
        <w:t xml:space="preserve">                                </w:t>
      </w:r>
      <w:r>
        <w:rPr>
          <w:rFonts w:ascii="Times New Roman" w:hAnsi="Times New Roman" w:eastAsia="宋体" w:cs="Times New Roman"/>
          <w:b/>
          <w:bCs/>
          <w:iCs/>
          <w:sz w:val="24"/>
          <w:szCs w:val="24"/>
        </w:rPr>
        <w:t>证券简称：五洲特纸</w:t>
      </w:r>
    </w:p>
    <w:p w14:paraId="528B9AAE">
      <w:pPr>
        <w:keepNext/>
        <w:keepLines/>
        <w:spacing w:before="260" w:after="260"/>
        <w:jc w:val="left"/>
        <w:outlineLvl w:val="1"/>
        <w:rPr>
          <w:rFonts w:ascii="Times New Roman" w:hAnsi="Times New Roman" w:eastAsia="宋体" w:cs="Times New Roman"/>
          <w:b/>
          <w:bCs/>
          <w:i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iCs/>
          <w:sz w:val="24"/>
          <w:szCs w:val="24"/>
        </w:rPr>
        <w:t>债券代码：111002</w:t>
      </w:r>
      <w:r>
        <w:rPr>
          <w:rFonts w:hint="eastAsia" w:ascii="Times New Roman" w:hAnsi="Times New Roman" w:eastAsia="宋体" w:cs="Times New Roman"/>
          <w:b/>
          <w:bCs/>
          <w:iCs/>
          <w:sz w:val="24"/>
          <w:szCs w:val="24"/>
          <w:lang w:val="en-US" w:eastAsia="zh-CN"/>
        </w:rPr>
        <w:t xml:space="preserve">                                </w:t>
      </w:r>
      <w:r>
        <w:rPr>
          <w:rFonts w:ascii="Times New Roman" w:hAnsi="Times New Roman" w:eastAsia="宋体" w:cs="Times New Roman"/>
          <w:b/>
          <w:bCs/>
          <w:iCs/>
          <w:sz w:val="24"/>
          <w:szCs w:val="24"/>
        </w:rPr>
        <w:t>债券简称：特纸转债</w:t>
      </w:r>
    </w:p>
    <w:p w14:paraId="7CDEA645">
      <w:pPr>
        <w:keepNext/>
        <w:keepLines/>
        <w:spacing w:before="156" w:beforeLines="50" w:after="156" w:afterLines="50"/>
        <w:jc w:val="center"/>
        <w:outlineLvl w:val="1"/>
        <w:rPr>
          <w:rFonts w:ascii="Times New Roman" w:hAnsi="Times New Roman" w:eastAsia="宋体" w:cs="Times New Roman"/>
          <w:b/>
          <w:bCs/>
          <w:sz w:val="36"/>
          <w:szCs w:val="36"/>
        </w:rPr>
      </w:pPr>
      <w:r>
        <w:rPr>
          <w:rFonts w:ascii="Times New Roman" w:hAnsi="Times New Roman" w:eastAsia="宋体" w:cs="Times New Roman"/>
          <w:b/>
          <w:bCs/>
          <w:sz w:val="36"/>
          <w:szCs w:val="36"/>
        </w:rPr>
        <w:t>五洲特种纸业集团股份有限公司</w:t>
      </w:r>
    </w:p>
    <w:p w14:paraId="5925F313">
      <w:pPr>
        <w:keepNext/>
        <w:keepLines/>
        <w:spacing w:before="156" w:beforeLines="50" w:after="156" w:afterLines="50"/>
        <w:jc w:val="center"/>
        <w:outlineLvl w:val="1"/>
        <w:rPr>
          <w:rFonts w:ascii="Times New Roman" w:hAnsi="Times New Roman" w:eastAsia="宋体" w:cs="Times New Roman"/>
          <w:b/>
          <w:bCs/>
          <w:sz w:val="36"/>
          <w:szCs w:val="36"/>
        </w:rPr>
      </w:pPr>
      <w:r>
        <w:rPr>
          <w:rFonts w:ascii="Times New Roman" w:hAnsi="Times New Roman" w:eastAsia="宋体" w:cs="Times New Roman"/>
          <w:b/>
          <w:bCs/>
          <w:sz w:val="36"/>
          <w:szCs w:val="36"/>
        </w:rPr>
        <w:t>投资者关系活动记录表</w:t>
      </w:r>
    </w:p>
    <w:p w14:paraId="16EF1A6E">
      <w:pPr>
        <w:keepNext/>
        <w:keepLines/>
        <w:spacing w:before="260" w:after="260" w:line="360" w:lineRule="auto"/>
        <w:jc w:val="left"/>
        <w:outlineLvl w:val="1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编号：</w:t>
      </w:r>
      <w:r>
        <w:rPr>
          <w:rFonts w:ascii="Times New Roman" w:hAnsi="Times New Roman" w:eastAsia="宋体" w:cs="Times New Roman"/>
          <w:sz w:val="24"/>
          <w:szCs w:val="24"/>
        </w:rPr>
        <w:t>202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5102501</w:t>
      </w:r>
    </w:p>
    <w:tbl>
      <w:tblPr>
        <w:tblStyle w:val="10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6853"/>
      </w:tblGrid>
      <w:tr w14:paraId="41A99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02" w:hRule="atLeast"/>
        </w:trPr>
        <w:tc>
          <w:tcPr>
            <w:tcW w:w="1937" w:type="dxa"/>
            <w:shd w:val="clear" w:color="auto" w:fill="auto"/>
            <w:vAlign w:val="center"/>
          </w:tcPr>
          <w:p w14:paraId="4E793B3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853" w:type="dxa"/>
            <w:shd w:val="clear" w:color="auto" w:fill="auto"/>
          </w:tcPr>
          <w:p w14:paraId="0DDBFC20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特定对象调研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分析师会议</w:t>
            </w:r>
          </w:p>
          <w:p w14:paraId="52426C2C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媒体采访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业绩说明会</w:t>
            </w:r>
          </w:p>
          <w:p w14:paraId="1F3B68DC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新闻发布会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路演活动</w:t>
            </w:r>
          </w:p>
          <w:p w14:paraId="538A0AE8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现场参观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电话会议</w:t>
            </w:r>
          </w:p>
          <w:p w14:paraId="6660E48D">
            <w:pPr>
              <w:tabs>
                <w:tab w:val="center" w:pos="3199"/>
              </w:tabs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其他（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single"/>
              </w:rPr>
              <w:t>请文字说明其他活动内容）</w:t>
            </w:r>
          </w:p>
        </w:tc>
      </w:tr>
      <w:tr w14:paraId="55BE2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0" w:hRule="atLeast"/>
        </w:trPr>
        <w:tc>
          <w:tcPr>
            <w:tcW w:w="1937" w:type="dxa"/>
            <w:shd w:val="clear" w:color="auto" w:fill="auto"/>
            <w:vAlign w:val="center"/>
          </w:tcPr>
          <w:p w14:paraId="0D54572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22058D19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（排名不分先后）</w:t>
            </w:r>
          </w:p>
          <w:p w14:paraId="26EC9C11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信达证券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国投瑞银基金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国海证券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东北证券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浙商证券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华福证券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上海景林资管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恒越基金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鑫元基金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东方基金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华夏久盈资管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中信证券资管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兴全基金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睿郡投资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西部利得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国华兴益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国泰基金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信泰人寿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前海联合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中信自营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红土创新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汇安基金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农银汇理</w:t>
            </w:r>
          </w:p>
        </w:tc>
      </w:tr>
      <w:tr w14:paraId="5146A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937" w:type="dxa"/>
            <w:shd w:val="clear" w:color="auto" w:fill="auto"/>
            <w:vAlign w:val="center"/>
          </w:tcPr>
          <w:p w14:paraId="6B9CC25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3CA8C064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日</w:t>
            </w:r>
          </w:p>
        </w:tc>
      </w:tr>
      <w:tr w14:paraId="6AA13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937" w:type="dxa"/>
            <w:shd w:val="clear" w:color="auto" w:fill="auto"/>
            <w:vAlign w:val="center"/>
          </w:tcPr>
          <w:p w14:paraId="78E6F73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13FF6232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电话会议</w:t>
            </w:r>
          </w:p>
        </w:tc>
      </w:tr>
      <w:tr w14:paraId="33ABE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937" w:type="dxa"/>
            <w:shd w:val="clear" w:color="auto" w:fill="auto"/>
            <w:vAlign w:val="center"/>
          </w:tcPr>
          <w:p w14:paraId="14F1B16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2A7CB399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董事会秘书：张海峡先生</w:t>
            </w:r>
          </w:p>
        </w:tc>
      </w:tr>
      <w:tr w14:paraId="43E28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5" w:hRule="atLeast"/>
        </w:trPr>
        <w:tc>
          <w:tcPr>
            <w:tcW w:w="1937" w:type="dxa"/>
            <w:shd w:val="clear" w:color="auto" w:fill="auto"/>
            <w:vAlign w:val="center"/>
          </w:tcPr>
          <w:p w14:paraId="0FEB344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853" w:type="dxa"/>
            <w:shd w:val="clear" w:color="auto" w:fill="auto"/>
          </w:tcPr>
          <w:p w14:paraId="27CE3278">
            <w:pPr>
              <w:spacing w:line="360" w:lineRule="auto"/>
              <w:ind w:left="479" w:leftChars="228" w:firstLine="0" w:firstLineChars="0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bookmarkStart w:id="0" w:name="DQao-1662045086574"/>
            <w:bookmarkEnd w:id="0"/>
            <w:bookmarkStart w:id="1" w:name="tmyt-1694590311221"/>
            <w:bookmarkEnd w:id="1"/>
            <w:bookmarkStart w:id="2" w:name="KR0P-1662045086576"/>
            <w:bookmarkEnd w:id="2"/>
            <w:bookmarkStart w:id="3" w:name="A2rU-1694599505935"/>
            <w:bookmarkEnd w:id="3"/>
            <w:bookmarkStart w:id="4" w:name="JJSk-1663656205810"/>
            <w:bookmarkEnd w:id="4"/>
            <w:bookmarkStart w:id="5" w:name="KHPU-1662045086578"/>
            <w:bookmarkEnd w:id="5"/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三季度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经营情况：</w:t>
            </w:r>
          </w:p>
          <w:p w14:paraId="3431C654">
            <w:pPr>
              <w:spacing w:line="360" w:lineRule="auto"/>
              <w:ind w:firstLine="482" w:firstLineChars="2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产量与销量：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三季度完成机制纸产量57.4万吨，销量59.8万吨，产销比超过100%；销量环比二季度的53.8万吨增长约6万吨。</w:t>
            </w:r>
          </w:p>
          <w:p w14:paraId="1D17ED54">
            <w:pPr>
              <w:spacing w:line="360" w:lineRule="auto"/>
              <w:ind w:firstLine="482" w:firstLineChars="2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销量增长来源：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主要来自湖北基地新产线的工业包装纸，三季度湖北基地工业包装纸销量31.3万吨，环比二季度的26.5万吨增长约5万吨；其他的白纸类产品销量增减略有变化。</w:t>
            </w:r>
          </w:p>
          <w:p w14:paraId="0116CC66">
            <w:pPr>
              <w:spacing w:line="360" w:lineRule="auto"/>
              <w:ind w:firstLine="482" w:firstLineChars="2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收入与利润：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Q3主营业务收入22.8亿元，环比增长1.5亿元；总规模净利润约5900万元，环比二季度增长约300万元，整体稳中略涨。</w:t>
            </w:r>
          </w:p>
          <w:p w14:paraId="66D9E5DF">
            <w:pPr>
              <w:spacing w:line="360" w:lineRule="auto"/>
              <w:ind w:firstLine="482" w:firstLineChars="200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各产品价格&amp;毛利率变化：</w:t>
            </w:r>
          </w:p>
          <w:p w14:paraId="16B5BA8F">
            <w:pPr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食品包装纸：销售均价环比稳定，受益于用浆成本（针叶&amp;阔叶）下降，毛利率提升。</w:t>
            </w:r>
          </w:p>
          <w:p w14:paraId="1901A646">
            <w:pPr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格拉辛纸：H1比较坚挺。Q3由于成本下降幅度小于售价下降幅度，毛利率有所下降。</w:t>
            </w:r>
          </w:p>
          <w:p w14:paraId="6AE2ECDF">
            <w:pPr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数码转印纸：销售价格Q3环比反弹400元/吨左右，毛利率提升。</w:t>
            </w:r>
          </w:p>
          <w:p w14:paraId="1A73DB44">
            <w:pPr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工业配套纸：因衢州基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地新增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工业配套纸产品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毛利率从二季度的10%提升到三季度的17%。</w:t>
            </w:r>
          </w:p>
          <w:p w14:paraId="52BE0A73">
            <w:pPr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文化纸：售价和成本基本下降幅度一致，毛利率维持原本水平。</w:t>
            </w:r>
          </w:p>
          <w:p w14:paraId="074F4460">
            <w:pPr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工业包装纸：受废纸原材料价格上涨带动产品出厂价格上涨，毛利率与二季度基本稳定，维持在7%左右。</w:t>
            </w:r>
          </w:p>
          <w:p w14:paraId="1EB99CD5">
            <w:pPr>
              <w:spacing w:line="360" w:lineRule="auto"/>
              <w:ind w:firstLine="482" w:firstLineChars="2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全年销量预期：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预计全年销量能够达到220万吨左右，若10月投产的湖北基地两条白纸特种纸产线能在四季度快速爬坡消缺，销量预计会有所增加。</w:t>
            </w:r>
          </w:p>
          <w:p w14:paraId="1F840CD8">
            <w:pPr>
              <w:spacing w:line="360" w:lineRule="auto"/>
              <w:ind w:firstLine="482" w:firstLineChars="2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四季度产品价格预测：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部分产品稳中略有上涨。</w:t>
            </w:r>
          </w:p>
          <w:p w14:paraId="12A42DFC">
            <w:pPr>
              <w:spacing w:line="360" w:lineRule="auto"/>
              <w:ind w:firstLine="482" w:firstLineChars="2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纸浆价格判断：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四季度针叶浆和阔叶浆现货价格僵持难涨难跌，后市主要看纸厂销售和利润情况。</w:t>
            </w:r>
          </w:p>
          <w:p w14:paraId="09CD3977">
            <w:pPr>
              <w:spacing w:line="360" w:lineRule="auto"/>
              <w:ind w:firstLine="482" w:firstLineChars="2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新增产能贡献：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湖北基地两条白纸特种纸产线于10月投产，若四季度能快速爬坡消缺，将贡献一部分产销量及利润。</w:t>
            </w:r>
          </w:p>
          <w:p w14:paraId="0FC7DA25">
            <w:pPr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5AD54D0">
            <w:pPr>
              <w:spacing w:line="360" w:lineRule="auto"/>
              <w:ind w:firstLine="482" w:firstLineChars="200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在纸浆价格500美金左右的水平下，中国造纸企业快速扩张纸浆产能，未来纸浆产能的优势及盈利是否值得大规模投资？</w:t>
            </w:r>
          </w:p>
          <w:p w14:paraId="7FE5FC1A">
            <w:pPr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中国企业在困境中的奋斗能力强大，国内木片资源来源呈网络状分布，目前公司木片很小部分需进口。国内龙头企业拥有自有浆线具有重要战略意义，可避免被卡脖子并获得回旋余地。</w:t>
            </w:r>
          </w:p>
          <w:p w14:paraId="46D602CF">
            <w:pPr>
              <w:spacing w:line="360" w:lineRule="auto"/>
              <w:ind w:firstLine="482" w:firstLineChars="200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白卡价格在四季度是否会反弹？目前价格落地情况如何？</w:t>
            </w:r>
          </w:p>
          <w:p w14:paraId="58A08ED7">
            <w:pPr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白卡在四季度预计有100到200元的价格反弹，落地概率较大。</w:t>
            </w:r>
          </w:p>
          <w:p w14:paraId="26CA19EE">
            <w:pPr>
              <w:spacing w:line="360" w:lineRule="auto"/>
              <w:ind w:firstLine="482" w:firstLineChars="2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格拉辛纸机的投产进度、产品结构调整及成本优势如何？</w:t>
            </w:r>
          </w:p>
          <w:p w14:paraId="60A3279A">
            <w:pPr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湖北基地格拉辛纸机目前处于设备消缺过程，该纸机柔性化设计可切换生产其他品类，将根据市场情况调整格拉辛与其他产品的生产结构。格拉辛在湖北、江西、浙江三个基地均有生产，预计湖北基地格拉辛最具成本优势。</w:t>
            </w:r>
          </w:p>
          <w:p w14:paraId="7BF81F9D">
            <w:pPr>
              <w:spacing w:line="360" w:lineRule="auto"/>
              <w:ind w:firstLine="482" w:firstLineChars="200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 60万吨化学浆的投产规划是否有变化？未来还有哪些潜在产能规划及落地时间？</w:t>
            </w:r>
          </w:p>
          <w:p w14:paraId="247892C2">
            <w:pPr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60万吨化学浆目前在建，预计27年上半年投产。江西基地19号文化纸机（产能约十几万吨）将于明年第一季度投产，该纸机可以受益于江西自有配套浆及27年投产的化学浆项目。湖北基地已投两条特纸产线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未来各个基地另有规划但尚未完全确定。</w:t>
            </w:r>
          </w:p>
          <w:p w14:paraId="6093558A">
            <w:pPr>
              <w:spacing w:line="360" w:lineRule="auto"/>
              <w:ind w:firstLine="482" w:firstLineChars="200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今年木片成本上涨的核心驱动因素是什么？未来价格上涨是否还有动力？</w:t>
            </w:r>
          </w:p>
          <w:p w14:paraId="317CDBD1">
            <w:pPr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木片成本需分品类看待，杨木整体自年初以来有所上涨，化机浆生产中木片结构多元化，不同企业因木片混合比例不同，成本情况存在差异。</w:t>
            </w:r>
          </w:p>
          <w:p w14:paraId="4DC49AD4">
            <w:pPr>
              <w:spacing w:line="360" w:lineRule="auto"/>
              <w:ind w:firstLine="482" w:firstLineChars="200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公司自制浆的成本大概维持在什么水平？与二季度相比是否有变化？</w:t>
            </w:r>
          </w:p>
          <w:p w14:paraId="169D75DB">
            <w:pPr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三季度整体浆生产成本与二季度相比有所下降。</w:t>
            </w:r>
          </w:p>
          <w:p w14:paraId="49686B82">
            <w:pPr>
              <w:spacing w:line="360" w:lineRule="auto"/>
              <w:ind w:firstLine="482" w:firstLineChars="200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7、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今年一二三季度公司原材料成本的走势如何？四季度成本是否会比三季度更高？</w:t>
            </w:r>
          </w:p>
          <w:p w14:paraId="19B35389">
            <w:pPr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原材料成本逐季度下降。四季度浆价预计不会有大的变化，因为当前浆价本身波动不像前几年那样波动很大，且公司可通过调整木片品类等方式进行平衡。</w:t>
            </w:r>
          </w:p>
          <w:p w14:paraId="6515FB82">
            <w:pPr>
              <w:spacing w:line="360" w:lineRule="auto"/>
              <w:ind w:firstLine="482" w:firstLineChars="200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8、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白卡和文化纸都面临供给增加的情况，但白卡价格已开始上涨而文化纸仍在下跌，核心差异是什么？是需求增长导致的吗？</w:t>
            </w:r>
          </w:p>
          <w:p w14:paraId="046D8CF3">
            <w:pPr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白卡和文化纸均面临较大竞争压力，新增产能与需求不完全匹配。两者价格走势差异的核心原因较为复杂，需求只是一方面。长远看拥有自有浆的企业在白卡和文化纸业务上仍有优势，中小企业较为困难。</w:t>
            </w:r>
          </w:p>
          <w:p w14:paraId="33CE09C4">
            <w:pPr>
              <w:spacing w:line="360" w:lineRule="auto"/>
              <w:ind w:firstLine="482" w:firstLineChars="2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9、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食品卡纸与普通白卡相比，这一轮提价幅度是否更高？</w:t>
            </w:r>
          </w:p>
          <w:p w14:paraId="4CA5EF27">
            <w:pPr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食品卡纸与普通白卡的提价幅度差不多，不会有明显差异。</w:t>
            </w:r>
          </w:p>
          <w:p w14:paraId="09B27DCD">
            <w:pPr>
              <w:spacing w:line="360" w:lineRule="auto"/>
              <w:ind w:firstLine="482" w:firstLineChars="200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10、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三季度公司包装纸业务的价格提升幅度、成本提升幅度及毛利率具体变化幅度是多少？</w:t>
            </w:r>
          </w:p>
          <w:p w14:paraId="1BAAF712">
            <w:pPr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Q3与Q2相比，因原材料价格上涨，包装纸出厂价格同步上涨，两者联动紧密。毛利率方面，Q2和Q3基本相近，大概在六点几到7个点左右，两个季度没有大的变化。</w:t>
            </w:r>
          </w:p>
          <w:p w14:paraId="2D6414AA">
            <w:pPr>
              <w:spacing w:line="360" w:lineRule="auto"/>
              <w:ind w:firstLine="482" w:firstLineChars="200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11、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包装纸原材料涨价后，多长时间能反映到报表上？公司原材料库存大概是几个月？</w:t>
            </w:r>
          </w:p>
          <w:p w14:paraId="6253827E">
            <w:pPr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包装纸因产量大（如汉川基地、湖北基地月产量在10万吨到11万吨之间），原材料需求量也大（10万吨产量需采购甚至超过10万吨原材料）库存量对应的体量很大，没有太多库存加权平均的影响，基本上是随到随用，因此原材料价格变动能较快反映到报表上。</w:t>
            </w:r>
          </w:p>
          <w:p w14:paraId="15F8FAAD">
            <w:pPr>
              <w:spacing w:line="360" w:lineRule="auto"/>
              <w:ind w:firstLine="482" w:firstLineChars="200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12、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文化纸未来需求是否存在改善可能？目前能否从供给端观察到产能清退迹象？</w:t>
            </w:r>
          </w:p>
          <w:p w14:paraId="48B40E1E">
            <w:pPr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文化纸目前供给压力较大，主要源于头部企业在释放产能，因其具备资金、能源及规模效应等优势，挤压中小企业市场空间。行业整体在走向集中，若供需竞争持续，胜出者将是有成本优势的头部企业。单个纸种毛利可能不佳，但头部企业因基地产能大，可平摊综合成本，仍能保持一定盈利，后续需关注供需何时达到平衡状态。</w:t>
            </w:r>
          </w:p>
          <w:p w14:paraId="2B3B2FC1">
            <w:pPr>
              <w:spacing w:line="360" w:lineRule="auto"/>
              <w:ind w:firstLine="482" w:firstLineChars="200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13、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公司应收账款周转天数持续下滑的原因是什么？是产品结构调整、行业竞争加剧还是造纸环节话语权变化导致的？</w:t>
            </w:r>
          </w:p>
          <w:p w14:paraId="6578788C">
            <w:pPr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应收账款周转天数下滑主要与产品结构调整有关。特种纸类存在账期，而工业包装纸基本为现货现款交易，湖北基地工业包装纸投产后，其收入占比提升，从而优化了整体应收账款周转。</w:t>
            </w:r>
          </w:p>
          <w:p w14:paraId="31F7C04B">
            <w:pPr>
              <w:spacing w:line="360" w:lineRule="auto"/>
              <w:ind w:firstLine="482" w:firstLineChars="200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14、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公司在细分小品种纸（如标签类用纸）的开发情况如何？</w:t>
            </w:r>
          </w:p>
          <w:p w14:paraId="6E4B0526">
            <w:pPr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公司在果袋纸、硅油纸、防油纸等小品类纸方面已小批量供应市场，但尚未形成规模。</w:t>
            </w:r>
            <w:bookmarkStart w:id="6" w:name="_GoBack"/>
            <w:bookmarkEnd w:id="6"/>
          </w:p>
        </w:tc>
      </w:tr>
      <w:tr w14:paraId="39A6B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37" w:type="dxa"/>
            <w:shd w:val="clear" w:color="auto" w:fill="auto"/>
            <w:vAlign w:val="center"/>
          </w:tcPr>
          <w:p w14:paraId="16F6DF8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是否涉及应当披露的重大信息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4E64DE96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否</w:t>
            </w:r>
          </w:p>
        </w:tc>
      </w:tr>
      <w:tr w14:paraId="5C89F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937" w:type="dxa"/>
            <w:shd w:val="clear" w:color="auto" w:fill="auto"/>
            <w:vAlign w:val="center"/>
          </w:tcPr>
          <w:p w14:paraId="5B78F052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6853" w:type="dxa"/>
            <w:shd w:val="clear" w:color="auto" w:fill="auto"/>
          </w:tcPr>
          <w:p w14:paraId="7A7997AD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无</w:t>
            </w:r>
          </w:p>
        </w:tc>
      </w:tr>
      <w:tr w14:paraId="16BCB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937" w:type="dxa"/>
            <w:shd w:val="clear" w:color="auto" w:fill="auto"/>
            <w:vAlign w:val="center"/>
          </w:tcPr>
          <w:p w14:paraId="4A22811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2A2785BC">
            <w:pPr>
              <w:spacing w:line="360" w:lineRule="auto"/>
              <w:rPr>
                <w:rFonts w:hint="default" w:ascii="Times New Roman" w:hAnsi="Times New Roman" w:eastAsia="宋体" w:cs="Times New Roman"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</w:rPr>
              <w:t>日</w:t>
            </w:r>
          </w:p>
        </w:tc>
      </w:tr>
    </w:tbl>
    <w:p w14:paraId="66DE8985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1YTg1ZDVlOGYxMWYwODgwOThiM2I1ZjAzY2I2MDUifQ=="/>
  </w:docVars>
  <w:rsids>
    <w:rsidRoot w:val="150361F0"/>
    <w:rsid w:val="0003613B"/>
    <w:rsid w:val="000A43DC"/>
    <w:rsid w:val="000B0AD4"/>
    <w:rsid w:val="000C25C9"/>
    <w:rsid w:val="00110400"/>
    <w:rsid w:val="00183087"/>
    <w:rsid w:val="00185742"/>
    <w:rsid w:val="00213050"/>
    <w:rsid w:val="00260D0F"/>
    <w:rsid w:val="002C0B24"/>
    <w:rsid w:val="002D0A15"/>
    <w:rsid w:val="00343A85"/>
    <w:rsid w:val="00366327"/>
    <w:rsid w:val="00495430"/>
    <w:rsid w:val="004A426B"/>
    <w:rsid w:val="005762C8"/>
    <w:rsid w:val="0057790F"/>
    <w:rsid w:val="005C455C"/>
    <w:rsid w:val="006322BA"/>
    <w:rsid w:val="006371A2"/>
    <w:rsid w:val="00643C3C"/>
    <w:rsid w:val="00707D37"/>
    <w:rsid w:val="00753E26"/>
    <w:rsid w:val="008B3426"/>
    <w:rsid w:val="008C4B9C"/>
    <w:rsid w:val="008E7E12"/>
    <w:rsid w:val="009558FF"/>
    <w:rsid w:val="00A37A1B"/>
    <w:rsid w:val="00A66730"/>
    <w:rsid w:val="00A82B85"/>
    <w:rsid w:val="00AB10AE"/>
    <w:rsid w:val="00AC5444"/>
    <w:rsid w:val="00B1647F"/>
    <w:rsid w:val="00B67A26"/>
    <w:rsid w:val="00B90C13"/>
    <w:rsid w:val="00BE4D74"/>
    <w:rsid w:val="00C80F0F"/>
    <w:rsid w:val="00CF4D2B"/>
    <w:rsid w:val="00CF7383"/>
    <w:rsid w:val="00D13E3A"/>
    <w:rsid w:val="00D44B96"/>
    <w:rsid w:val="00D50B29"/>
    <w:rsid w:val="00D61413"/>
    <w:rsid w:val="00D70735"/>
    <w:rsid w:val="00DA0D93"/>
    <w:rsid w:val="00DA5C88"/>
    <w:rsid w:val="00DF219E"/>
    <w:rsid w:val="00F01EE3"/>
    <w:rsid w:val="01212C77"/>
    <w:rsid w:val="01B25B71"/>
    <w:rsid w:val="01DE1F65"/>
    <w:rsid w:val="01F23E8A"/>
    <w:rsid w:val="02DB5D1B"/>
    <w:rsid w:val="04367A06"/>
    <w:rsid w:val="044C0C16"/>
    <w:rsid w:val="047535AB"/>
    <w:rsid w:val="04CC611F"/>
    <w:rsid w:val="05D25154"/>
    <w:rsid w:val="05D37841"/>
    <w:rsid w:val="05DA5924"/>
    <w:rsid w:val="0725012E"/>
    <w:rsid w:val="07325CA6"/>
    <w:rsid w:val="077A21D5"/>
    <w:rsid w:val="078D6C24"/>
    <w:rsid w:val="07FC5041"/>
    <w:rsid w:val="082559B6"/>
    <w:rsid w:val="087A444D"/>
    <w:rsid w:val="08AA3470"/>
    <w:rsid w:val="0B42400D"/>
    <w:rsid w:val="0BAC0749"/>
    <w:rsid w:val="0C315C49"/>
    <w:rsid w:val="0C760F26"/>
    <w:rsid w:val="0C773197"/>
    <w:rsid w:val="0D2A5F35"/>
    <w:rsid w:val="0D6936E2"/>
    <w:rsid w:val="0D7232E4"/>
    <w:rsid w:val="0E245887"/>
    <w:rsid w:val="0E9F40E0"/>
    <w:rsid w:val="0F104F93"/>
    <w:rsid w:val="0FF20D73"/>
    <w:rsid w:val="102F4259"/>
    <w:rsid w:val="10A264CD"/>
    <w:rsid w:val="11AE217B"/>
    <w:rsid w:val="11E06912"/>
    <w:rsid w:val="12BD2791"/>
    <w:rsid w:val="138003AD"/>
    <w:rsid w:val="14042055"/>
    <w:rsid w:val="140A7529"/>
    <w:rsid w:val="150361F0"/>
    <w:rsid w:val="15927101"/>
    <w:rsid w:val="15CE217C"/>
    <w:rsid w:val="18161EDA"/>
    <w:rsid w:val="18A35F07"/>
    <w:rsid w:val="1950251E"/>
    <w:rsid w:val="1A277E63"/>
    <w:rsid w:val="1A707E03"/>
    <w:rsid w:val="1A7C56C6"/>
    <w:rsid w:val="1A861E6D"/>
    <w:rsid w:val="1AE34A85"/>
    <w:rsid w:val="1C01575D"/>
    <w:rsid w:val="1C76444E"/>
    <w:rsid w:val="1CC04CD2"/>
    <w:rsid w:val="1CC6445D"/>
    <w:rsid w:val="1F637DD0"/>
    <w:rsid w:val="1F7D031E"/>
    <w:rsid w:val="1F84355F"/>
    <w:rsid w:val="207277FE"/>
    <w:rsid w:val="212B099D"/>
    <w:rsid w:val="21570FA4"/>
    <w:rsid w:val="22075398"/>
    <w:rsid w:val="229B1148"/>
    <w:rsid w:val="22A85C94"/>
    <w:rsid w:val="22C31FE2"/>
    <w:rsid w:val="22ED6565"/>
    <w:rsid w:val="240E51A8"/>
    <w:rsid w:val="241779ED"/>
    <w:rsid w:val="248F4E23"/>
    <w:rsid w:val="24AA57B9"/>
    <w:rsid w:val="255D16B3"/>
    <w:rsid w:val="25DD66A4"/>
    <w:rsid w:val="25ED10BC"/>
    <w:rsid w:val="270F7B55"/>
    <w:rsid w:val="27111B1F"/>
    <w:rsid w:val="272044A2"/>
    <w:rsid w:val="27783267"/>
    <w:rsid w:val="277851F0"/>
    <w:rsid w:val="282B654A"/>
    <w:rsid w:val="287B3F23"/>
    <w:rsid w:val="28E77036"/>
    <w:rsid w:val="292C362F"/>
    <w:rsid w:val="29D258A0"/>
    <w:rsid w:val="29D923E5"/>
    <w:rsid w:val="29DD3EA8"/>
    <w:rsid w:val="2A2C6AA5"/>
    <w:rsid w:val="2A77613D"/>
    <w:rsid w:val="2BCE4A2D"/>
    <w:rsid w:val="2C8145D8"/>
    <w:rsid w:val="2D1D7363"/>
    <w:rsid w:val="2D556C3A"/>
    <w:rsid w:val="2D6E26F7"/>
    <w:rsid w:val="2D861E2F"/>
    <w:rsid w:val="2D9A608B"/>
    <w:rsid w:val="2E175F08"/>
    <w:rsid w:val="2E3D5E70"/>
    <w:rsid w:val="2E4612F2"/>
    <w:rsid w:val="2EE84A10"/>
    <w:rsid w:val="2FA00A37"/>
    <w:rsid w:val="3082359E"/>
    <w:rsid w:val="30850E88"/>
    <w:rsid w:val="30FF1613"/>
    <w:rsid w:val="31455897"/>
    <w:rsid w:val="317C3F2E"/>
    <w:rsid w:val="31BD083F"/>
    <w:rsid w:val="331845C3"/>
    <w:rsid w:val="342B56BF"/>
    <w:rsid w:val="345D53D3"/>
    <w:rsid w:val="34EF48E0"/>
    <w:rsid w:val="35AB6B9C"/>
    <w:rsid w:val="35B55930"/>
    <w:rsid w:val="37F967E1"/>
    <w:rsid w:val="385F5093"/>
    <w:rsid w:val="388E2039"/>
    <w:rsid w:val="39BC4A50"/>
    <w:rsid w:val="3A147C15"/>
    <w:rsid w:val="3A187284"/>
    <w:rsid w:val="3A666D2F"/>
    <w:rsid w:val="3A8910C2"/>
    <w:rsid w:val="3A9E3272"/>
    <w:rsid w:val="3AEA64B7"/>
    <w:rsid w:val="3C1A50DA"/>
    <w:rsid w:val="3D0803B2"/>
    <w:rsid w:val="3D530769"/>
    <w:rsid w:val="3E5F3778"/>
    <w:rsid w:val="3E8D7F75"/>
    <w:rsid w:val="3EA0511F"/>
    <w:rsid w:val="3EE761A3"/>
    <w:rsid w:val="3F0A6FBE"/>
    <w:rsid w:val="40064E55"/>
    <w:rsid w:val="41265C15"/>
    <w:rsid w:val="41EE3441"/>
    <w:rsid w:val="427322D0"/>
    <w:rsid w:val="42B07FE6"/>
    <w:rsid w:val="42CE32F1"/>
    <w:rsid w:val="434753D7"/>
    <w:rsid w:val="436761B3"/>
    <w:rsid w:val="44231564"/>
    <w:rsid w:val="44431F40"/>
    <w:rsid w:val="445D7FCE"/>
    <w:rsid w:val="44865588"/>
    <w:rsid w:val="449C25B8"/>
    <w:rsid w:val="44DF1C07"/>
    <w:rsid w:val="45264590"/>
    <w:rsid w:val="455200F2"/>
    <w:rsid w:val="46673421"/>
    <w:rsid w:val="472E0107"/>
    <w:rsid w:val="477C543C"/>
    <w:rsid w:val="49C07776"/>
    <w:rsid w:val="49E113CD"/>
    <w:rsid w:val="4A55606D"/>
    <w:rsid w:val="4AA1157D"/>
    <w:rsid w:val="4B430F0F"/>
    <w:rsid w:val="4C0C2AA1"/>
    <w:rsid w:val="4C906CB8"/>
    <w:rsid w:val="4D41105E"/>
    <w:rsid w:val="4D5648B5"/>
    <w:rsid w:val="4D7A382B"/>
    <w:rsid w:val="4D963D2D"/>
    <w:rsid w:val="4DC24585"/>
    <w:rsid w:val="4DDB4AB8"/>
    <w:rsid w:val="4ECF3096"/>
    <w:rsid w:val="4F005941"/>
    <w:rsid w:val="4F0376F3"/>
    <w:rsid w:val="4F980780"/>
    <w:rsid w:val="501F65C7"/>
    <w:rsid w:val="50BE28DC"/>
    <w:rsid w:val="510A6D88"/>
    <w:rsid w:val="511701B4"/>
    <w:rsid w:val="5167040A"/>
    <w:rsid w:val="527D73D4"/>
    <w:rsid w:val="52CA6197"/>
    <w:rsid w:val="52EE76B5"/>
    <w:rsid w:val="52F43107"/>
    <w:rsid w:val="532506B0"/>
    <w:rsid w:val="5398408D"/>
    <w:rsid w:val="53A6284F"/>
    <w:rsid w:val="544C43FA"/>
    <w:rsid w:val="570D1BAB"/>
    <w:rsid w:val="58696CB7"/>
    <w:rsid w:val="586D05F0"/>
    <w:rsid w:val="58894DE8"/>
    <w:rsid w:val="58EF782B"/>
    <w:rsid w:val="597109B8"/>
    <w:rsid w:val="599740B7"/>
    <w:rsid w:val="59BD6CED"/>
    <w:rsid w:val="59F00825"/>
    <w:rsid w:val="5A53263F"/>
    <w:rsid w:val="5B017C2B"/>
    <w:rsid w:val="5B6F4A8B"/>
    <w:rsid w:val="5BB76C98"/>
    <w:rsid w:val="5C2A5105"/>
    <w:rsid w:val="5CCE3A33"/>
    <w:rsid w:val="5D005823"/>
    <w:rsid w:val="5D250D7F"/>
    <w:rsid w:val="5E9C04DB"/>
    <w:rsid w:val="5EF808F3"/>
    <w:rsid w:val="5FA52039"/>
    <w:rsid w:val="5FF64D71"/>
    <w:rsid w:val="60143F17"/>
    <w:rsid w:val="6041262A"/>
    <w:rsid w:val="60496758"/>
    <w:rsid w:val="60790555"/>
    <w:rsid w:val="60E87B8F"/>
    <w:rsid w:val="61B33F69"/>
    <w:rsid w:val="61C52FE1"/>
    <w:rsid w:val="621D0B8C"/>
    <w:rsid w:val="636E73D6"/>
    <w:rsid w:val="639C02F0"/>
    <w:rsid w:val="64167EF8"/>
    <w:rsid w:val="64557CAD"/>
    <w:rsid w:val="64B67523"/>
    <w:rsid w:val="65906C95"/>
    <w:rsid w:val="665C724C"/>
    <w:rsid w:val="66A938A3"/>
    <w:rsid w:val="66B54A67"/>
    <w:rsid w:val="66FC1E2B"/>
    <w:rsid w:val="6733093D"/>
    <w:rsid w:val="67CD648C"/>
    <w:rsid w:val="67E97973"/>
    <w:rsid w:val="68782D29"/>
    <w:rsid w:val="68D02565"/>
    <w:rsid w:val="69C27A6F"/>
    <w:rsid w:val="69E66D34"/>
    <w:rsid w:val="69F56293"/>
    <w:rsid w:val="69F76CCD"/>
    <w:rsid w:val="6B7C7F2B"/>
    <w:rsid w:val="6B9032EF"/>
    <w:rsid w:val="6BE75CC7"/>
    <w:rsid w:val="6D1948A3"/>
    <w:rsid w:val="6D5D432A"/>
    <w:rsid w:val="6D6C64A7"/>
    <w:rsid w:val="6DC8240A"/>
    <w:rsid w:val="6E33150F"/>
    <w:rsid w:val="6E804461"/>
    <w:rsid w:val="6EB61792"/>
    <w:rsid w:val="71593474"/>
    <w:rsid w:val="71A63D40"/>
    <w:rsid w:val="71CB78EE"/>
    <w:rsid w:val="738156B4"/>
    <w:rsid w:val="741048BC"/>
    <w:rsid w:val="745172F8"/>
    <w:rsid w:val="754C4082"/>
    <w:rsid w:val="75892693"/>
    <w:rsid w:val="762C7A10"/>
    <w:rsid w:val="76B00B90"/>
    <w:rsid w:val="77441A7A"/>
    <w:rsid w:val="7771703D"/>
    <w:rsid w:val="783C3374"/>
    <w:rsid w:val="785F7EE6"/>
    <w:rsid w:val="78B518CD"/>
    <w:rsid w:val="79411948"/>
    <w:rsid w:val="795F1843"/>
    <w:rsid w:val="7A0B785D"/>
    <w:rsid w:val="7A737C5C"/>
    <w:rsid w:val="7A824159"/>
    <w:rsid w:val="7AD3268C"/>
    <w:rsid w:val="7B322C9F"/>
    <w:rsid w:val="7B9316AC"/>
    <w:rsid w:val="7C4F0289"/>
    <w:rsid w:val="7C5910B5"/>
    <w:rsid w:val="7CE26B90"/>
    <w:rsid w:val="7CFE75C5"/>
    <w:rsid w:val="7D4857A1"/>
    <w:rsid w:val="7E497C72"/>
    <w:rsid w:val="7E67109B"/>
    <w:rsid w:val="7E97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autoRedefine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before="180" w:after="180"/>
    </w:p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rPr>
      <w:sz w:val="24"/>
    </w:rPr>
  </w:style>
  <w:style w:type="paragraph" w:styleId="8">
    <w:name w:val="Title"/>
    <w:basedOn w:val="1"/>
    <w:next w:val="3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9">
    <w:name w:val="annotation subject"/>
    <w:basedOn w:val="2"/>
    <w:next w:val="2"/>
    <w:link w:val="17"/>
    <w:autoRedefine/>
    <w:qFormat/>
    <w:uiPriority w:val="0"/>
    <w:rPr>
      <w:b/>
      <w:bCs/>
    </w:rPr>
  </w:style>
  <w:style w:type="character" w:styleId="12">
    <w:name w:val="annotation reference"/>
    <w:basedOn w:val="11"/>
    <w:autoRedefine/>
    <w:qFormat/>
    <w:uiPriority w:val="0"/>
    <w:rPr>
      <w:sz w:val="21"/>
      <w:szCs w:val="21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字符"/>
    <w:basedOn w:val="11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1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文字 字符"/>
    <w:basedOn w:val="11"/>
    <w:link w:val="2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7">
    <w:name w:val="批注主题 字符"/>
    <w:basedOn w:val="16"/>
    <w:link w:val="9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8">
    <w:name w:val="批注框文本 字符"/>
    <w:basedOn w:val="11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First Paragraph"/>
    <w:basedOn w:val="3"/>
    <w:next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2579</Words>
  <Characters>2680</Characters>
  <Lines>12</Lines>
  <Paragraphs>3</Paragraphs>
  <TotalTime>14</TotalTime>
  <ScaleCrop>false</ScaleCrop>
  <LinksUpToDate>false</LinksUpToDate>
  <CharactersWithSpaces>2781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2023-11-10T08:49:00Z</dcterms:created>
  <dc:creator>笑</dc:creator>
  <cp:lastModifiedBy>笑</cp:lastModifiedBy>
  <dcterms:modified xsi:type="dcterms:W3CDTF">2025-10-27T00:30:57Z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541558013203480E98560DA9F3D8B8FF_13</vt:lpwstr>
  </property>
  <property fmtid="{D5CDD505-2E9C-101B-9397-08002B2CF9AE}" pid="4" name="KSOTemplateDocerSaveRecord">
    <vt:lpwstr>eyJoZGlkIjoiMzEwNTM5NzYwMDRjMzkwZTVkZjY2ODkwMGIxNGU0OTUiLCJ1c2VySWQiOiIyNTIyNzc3NjYifQ==</vt:lpwstr>
  </property>
</Properties>
</file>