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D5B8B" w14:textId="77777777" w:rsidR="00F31F45" w:rsidRDefault="002323CA">
      <w:pPr>
        <w:pStyle w:val="a5"/>
        <w:tabs>
          <w:tab w:val="left" w:pos="6339"/>
        </w:tabs>
        <w:spacing w:before="52"/>
        <w:ind w:left="220"/>
        <w:rPr>
          <w:lang w:eastAsia="zh-CN"/>
        </w:rPr>
      </w:pPr>
      <w:r>
        <w:rPr>
          <w:lang w:eastAsia="zh-CN"/>
        </w:rPr>
        <w:t>证券代码：</w:t>
      </w:r>
      <w:r>
        <w:rPr>
          <w:rFonts w:ascii="Times New Roman" w:hAnsi="Times New Roman" w:cs="Times New Roman"/>
          <w:lang w:eastAsia="zh-CN"/>
        </w:rPr>
        <w:t>603370</w:t>
      </w:r>
      <w:r>
        <w:rPr>
          <w:lang w:eastAsia="zh-CN"/>
        </w:rPr>
        <w:tab/>
        <w:t>证券简称：</w:t>
      </w:r>
      <w:r>
        <w:rPr>
          <w:rFonts w:hint="eastAsia"/>
          <w:lang w:eastAsia="zh-CN"/>
        </w:rPr>
        <w:t>华新精科</w:t>
      </w:r>
    </w:p>
    <w:p w14:paraId="521DDFCD" w14:textId="77777777" w:rsidR="00F31F45" w:rsidRDefault="00F31F45">
      <w:pPr>
        <w:pStyle w:val="a5"/>
        <w:rPr>
          <w:lang w:eastAsia="zh-CN"/>
        </w:rPr>
      </w:pPr>
    </w:p>
    <w:p w14:paraId="5F1FA26C" w14:textId="77777777" w:rsidR="00F31F45" w:rsidRDefault="00F31F45">
      <w:pPr>
        <w:pStyle w:val="a5"/>
        <w:spacing w:before="1"/>
        <w:rPr>
          <w:lang w:eastAsia="zh-CN"/>
        </w:rPr>
      </w:pPr>
    </w:p>
    <w:p w14:paraId="5BA6F91A" w14:textId="77777777" w:rsidR="00F31F45" w:rsidRDefault="002323CA">
      <w:pPr>
        <w:spacing w:before="1" w:line="376" w:lineRule="auto"/>
        <w:ind w:right="40"/>
        <w:jc w:val="center"/>
        <w:rPr>
          <w:rFonts w:ascii="黑体" w:eastAsia="黑体" w:hAnsi="黑体"/>
          <w:b/>
          <w:w w:val="95"/>
          <w:sz w:val="36"/>
          <w:szCs w:val="36"/>
          <w:lang w:eastAsia="zh-CN"/>
        </w:rPr>
      </w:pPr>
      <w:r>
        <w:rPr>
          <w:rFonts w:ascii="黑体" w:eastAsia="黑体" w:hAnsi="黑体" w:hint="eastAsia"/>
          <w:b/>
          <w:w w:val="95"/>
          <w:sz w:val="36"/>
          <w:szCs w:val="36"/>
          <w:lang w:eastAsia="zh-CN"/>
        </w:rPr>
        <w:t>江阴华新</w:t>
      </w:r>
      <w:proofErr w:type="gramStart"/>
      <w:r>
        <w:rPr>
          <w:rFonts w:ascii="黑体" w:eastAsia="黑体" w:hAnsi="黑体" w:hint="eastAsia"/>
          <w:b/>
          <w:w w:val="95"/>
          <w:sz w:val="36"/>
          <w:szCs w:val="36"/>
          <w:lang w:eastAsia="zh-CN"/>
        </w:rPr>
        <w:t>精密科技</w:t>
      </w:r>
      <w:proofErr w:type="gramEnd"/>
      <w:r>
        <w:rPr>
          <w:rFonts w:ascii="黑体" w:eastAsia="黑体" w:hAnsi="黑体"/>
          <w:b/>
          <w:w w:val="95"/>
          <w:sz w:val="36"/>
          <w:szCs w:val="36"/>
          <w:lang w:eastAsia="zh-CN"/>
        </w:rPr>
        <w:t>股份有限公司</w:t>
      </w:r>
    </w:p>
    <w:p w14:paraId="2FAF3B8E" w14:textId="77777777" w:rsidR="00F31F45" w:rsidRDefault="002323CA">
      <w:pPr>
        <w:spacing w:before="1" w:line="376" w:lineRule="auto"/>
        <w:ind w:right="40"/>
        <w:jc w:val="center"/>
        <w:rPr>
          <w:rFonts w:ascii="黑体" w:eastAsia="黑体" w:hAnsi="黑体"/>
          <w:b/>
          <w:w w:val="95"/>
          <w:sz w:val="36"/>
          <w:szCs w:val="36"/>
          <w:lang w:eastAsia="zh-CN"/>
        </w:rPr>
      </w:pPr>
      <w:r>
        <w:rPr>
          <w:rFonts w:ascii="黑体" w:eastAsia="黑体" w:hAnsi="黑体"/>
          <w:b/>
          <w:sz w:val="36"/>
          <w:szCs w:val="36"/>
          <w:lang w:eastAsia="zh-CN"/>
        </w:rPr>
        <w:t>投资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>者</w:t>
      </w:r>
      <w:r>
        <w:rPr>
          <w:rFonts w:ascii="黑体" w:eastAsia="黑体" w:hAnsi="黑体"/>
          <w:b/>
          <w:sz w:val="36"/>
          <w:szCs w:val="36"/>
          <w:lang w:eastAsia="zh-CN"/>
        </w:rPr>
        <w:t>关系活动记录表</w:t>
      </w:r>
    </w:p>
    <w:p w14:paraId="708C79A5" w14:textId="4EEAD373" w:rsidR="00F31F45" w:rsidRDefault="002323CA">
      <w:pPr>
        <w:pStyle w:val="a5"/>
        <w:spacing w:before="34" w:after="44"/>
        <w:ind w:right="242"/>
        <w:jc w:val="right"/>
        <w:rPr>
          <w:lang w:eastAsia="zh-CN"/>
        </w:rPr>
      </w:pPr>
      <w:r>
        <w:rPr>
          <w:lang w:eastAsia="zh-CN"/>
        </w:rPr>
        <w:t>编号：</w:t>
      </w:r>
      <w:r>
        <w:rPr>
          <w:rFonts w:ascii="Times New Roman" w:hAnsi="Times New Roman" w:cs="Times New Roman"/>
          <w:lang w:eastAsia="zh-CN"/>
        </w:rPr>
        <w:t>2025</w:t>
      </w:r>
      <w:r>
        <w:rPr>
          <w:lang w:eastAsia="zh-CN"/>
        </w:rPr>
        <w:t>-</w:t>
      </w:r>
      <w:r>
        <w:rPr>
          <w:rFonts w:ascii="Times New Roman" w:hAnsi="Times New Roman" w:cs="Times New Roman"/>
          <w:lang w:eastAsia="zh-CN"/>
        </w:rPr>
        <w:t>00</w:t>
      </w:r>
      <w:r w:rsidR="006E59E3">
        <w:rPr>
          <w:rFonts w:ascii="Times New Roman" w:hAnsi="Times New Roman" w:cs="Times New Roman"/>
          <w:lang w:eastAsia="zh-CN"/>
        </w:rPr>
        <w:t>9</w:t>
      </w:r>
      <w:bookmarkStart w:id="0" w:name="_GoBack"/>
      <w:bookmarkEnd w:id="0"/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6908"/>
      </w:tblGrid>
      <w:tr w:rsidR="00F31F45" w14:paraId="650D1B38" w14:textId="77777777">
        <w:trPr>
          <w:trHeight w:val="2240"/>
        </w:trPr>
        <w:tc>
          <w:tcPr>
            <w:tcW w:w="1592" w:type="dxa"/>
            <w:vAlign w:val="center"/>
          </w:tcPr>
          <w:p w14:paraId="58239E95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投资者关系活动类别</w:t>
            </w:r>
            <w:proofErr w:type="spellEnd"/>
          </w:p>
        </w:tc>
        <w:tc>
          <w:tcPr>
            <w:tcW w:w="6908" w:type="dxa"/>
            <w:vAlign w:val="center"/>
          </w:tcPr>
          <w:p w14:paraId="6987ACD8" w14:textId="77777777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sym w:font="Wingdings 2" w:char="F052"/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特定对象调研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分析师会议</w:t>
            </w:r>
          </w:p>
          <w:p w14:paraId="0ADF264C" w14:textId="77777777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媒体采访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业绩说明会</w:t>
            </w:r>
          </w:p>
          <w:p w14:paraId="282432AD" w14:textId="77777777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新闻发布会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路演活动</w:t>
            </w:r>
          </w:p>
          <w:p w14:paraId="410B2EBF" w14:textId="77777777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现场参观</w:t>
            </w:r>
            <w:proofErr w:type="spell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ab/>
              <w:t>□</w:t>
            </w: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其他</w:t>
            </w:r>
            <w:proofErr w:type="spellEnd"/>
          </w:p>
        </w:tc>
      </w:tr>
      <w:tr w:rsidR="00F31F45" w14:paraId="22F95BBF" w14:textId="77777777">
        <w:trPr>
          <w:trHeight w:val="560"/>
        </w:trPr>
        <w:tc>
          <w:tcPr>
            <w:tcW w:w="1592" w:type="dxa"/>
            <w:shd w:val="clear" w:color="auto" w:fill="auto"/>
            <w:vAlign w:val="center"/>
          </w:tcPr>
          <w:p w14:paraId="24E50975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参与单位名称</w:t>
            </w:r>
            <w:proofErr w:type="spellEnd"/>
          </w:p>
        </w:tc>
        <w:tc>
          <w:tcPr>
            <w:tcW w:w="6908" w:type="dxa"/>
            <w:shd w:val="clear" w:color="auto" w:fill="auto"/>
            <w:vAlign w:val="center"/>
          </w:tcPr>
          <w:p w14:paraId="1BBAF43F" w14:textId="77777777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光大证券、博时基金、长城证券</w:t>
            </w:r>
          </w:p>
        </w:tc>
      </w:tr>
      <w:tr w:rsidR="00F31F45" w14:paraId="2F7FFC4D" w14:textId="77777777">
        <w:trPr>
          <w:trHeight w:val="560"/>
        </w:trPr>
        <w:tc>
          <w:tcPr>
            <w:tcW w:w="1592" w:type="dxa"/>
            <w:vAlign w:val="center"/>
          </w:tcPr>
          <w:p w14:paraId="4ED4FF03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6908" w:type="dxa"/>
            <w:vAlign w:val="center"/>
          </w:tcPr>
          <w:p w14:paraId="42C8FDF6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2025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年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9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月</w:t>
            </w:r>
          </w:p>
        </w:tc>
      </w:tr>
      <w:tr w:rsidR="00F31F45" w14:paraId="53A4E143" w14:textId="77777777">
        <w:trPr>
          <w:trHeight w:val="560"/>
        </w:trPr>
        <w:tc>
          <w:tcPr>
            <w:tcW w:w="1592" w:type="dxa"/>
            <w:vAlign w:val="center"/>
          </w:tcPr>
          <w:p w14:paraId="53417891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6908" w:type="dxa"/>
            <w:vAlign w:val="center"/>
          </w:tcPr>
          <w:p w14:paraId="11BB25C6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华新精科会议室</w:t>
            </w:r>
          </w:p>
        </w:tc>
      </w:tr>
      <w:tr w:rsidR="00F31F45" w14:paraId="47010B67" w14:textId="77777777">
        <w:trPr>
          <w:trHeight w:val="816"/>
        </w:trPr>
        <w:tc>
          <w:tcPr>
            <w:tcW w:w="1592" w:type="dxa"/>
            <w:vAlign w:val="center"/>
          </w:tcPr>
          <w:p w14:paraId="7762BA5A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6908" w:type="dxa"/>
            <w:vAlign w:val="center"/>
          </w:tcPr>
          <w:p w14:paraId="28193DAB" w14:textId="77777777" w:rsidR="00F31F45" w:rsidRDefault="002323CA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董事会秘书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郭婉蓉；</w:t>
            </w:r>
          </w:p>
          <w:p w14:paraId="219407EE" w14:textId="77777777" w:rsidR="00F31F45" w:rsidRDefault="002323CA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证券事务代表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何蓉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蓉</w:t>
            </w:r>
            <w:proofErr w:type="gramEnd"/>
          </w:p>
        </w:tc>
      </w:tr>
      <w:tr w:rsidR="00F31F45" w14:paraId="0C89161A" w14:textId="77777777">
        <w:trPr>
          <w:trHeight w:val="1063"/>
        </w:trPr>
        <w:tc>
          <w:tcPr>
            <w:tcW w:w="1592" w:type="dxa"/>
            <w:vAlign w:val="center"/>
          </w:tcPr>
          <w:p w14:paraId="46260EE2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6908" w:type="dxa"/>
            <w:vAlign w:val="center"/>
          </w:tcPr>
          <w:p w14:paraId="2D4238DB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一、董事会秘书介绍公司基本情况</w:t>
            </w:r>
          </w:p>
          <w:p w14:paraId="35DEB342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二、互动交流主要内容</w:t>
            </w:r>
          </w:p>
          <w:p w14:paraId="3D15D176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、问：华新精科主要营收以铁芯为主，其中铁芯的注塑营收占比多少？</w:t>
            </w:r>
          </w:p>
          <w:p w14:paraId="09118226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答：目前注塑铁芯产品占比相对较低，对公司营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收产生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的影响较小。</w:t>
            </w:r>
          </w:p>
          <w:p w14:paraId="7FBA9CF4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352442D7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、问：公司与其他企业在铁芯的注塑制造工艺、成本控制上有何差距？</w:t>
            </w:r>
          </w:p>
          <w:p w14:paraId="4B24F1DE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答：公司通过铁芯整体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工艺制程的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前端技术研发、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制程质量管控手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段的有效规划，从仅仅交付零部件到交付部件（注塑后的铁芯产品），提升了产品的附加价值和流转效率，实现了良好的整体成本控制，形成了良性循环。</w:t>
            </w:r>
          </w:p>
          <w:p w14:paraId="635FC197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6B92A5EE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、问：公司注塑工艺的发展从何时开始的？</w:t>
            </w:r>
          </w:p>
          <w:p w14:paraId="73F480C3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答：公司规划注塑铁芯的投入、研发、生产已有一定时间。</w:t>
            </w:r>
          </w:p>
          <w:p w14:paraId="05FCA8DD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48E6C8AD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、问：公司与外部从事单一注塑生产的厂家有何差异？</w:t>
            </w:r>
          </w:p>
          <w:p w14:paraId="58AD7CFF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答：公司通过对铁芯整体多个工序生产流程的垂直整合，将客户原本依赖多供应商交付的加工环节转为公司内部控制，减少了客户在多个供应商之间加工流转浪费，为客户提供的增值服务，使客户的供应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商管理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运作更加高效顺畅。</w:t>
            </w:r>
          </w:p>
          <w:p w14:paraId="12A12EE9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43209913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、问：公司在工业电机、小电机板块的客户业务发展情况如何？</w:t>
            </w:r>
          </w:p>
          <w:p w14:paraId="549D408C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答：业务需求比较稳定。</w:t>
            </w:r>
          </w:p>
          <w:p w14:paraId="2FC2221D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45A3718D" w14:textId="63AB73B2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、问：公司自粘成型铁芯工艺和</w:t>
            </w:r>
            <w:proofErr w:type="gramStart"/>
            <w:r w:rsidR="00D00A94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模内点</w:t>
            </w:r>
            <w:proofErr w:type="gramEnd"/>
            <w:r w:rsidR="00D00A94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胶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铁芯工艺有何区别？哪个更好？</w:t>
            </w:r>
          </w:p>
          <w:p w14:paraId="39B29D94" w14:textId="77777777" w:rsidR="00D35053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答：自粘铁芯材料自带粘胶涂层，冲压后通过加热加压工艺使胶层固化，将叠片牢固地粘合在一起。</w:t>
            </w:r>
            <w:r w:rsidR="00567F6D" w:rsidRPr="00567F6D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模内点胶铁芯</w:t>
            </w:r>
            <w:r w:rsidR="00567F6D" w:rsidRPr="00567F6D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的冲压成型工艺是指在高速精密冲压模具内，通过</w:t>
            </w:r>
            <w:proofErr w:type="gramStart"/>
            <w:r w:rsidR="00567F6D" w:rsidRPr="00567F6D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一个点胶系统</w:t>
            </w:r>
            <w:proofErr w:type="gramEnd"/>
            <w:r w:rsidR="00567F6D" w:rsidRPr="00567F6D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，将胶水精确地点涂在叠片的特定位置，然后在模具内直接压合固化，实现粘接成型。</w:t>
            </w:r>
          </w:p>
          <w:p w14:paraId="27088F65" w14:textId="30E76FA3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自粘铁芯因整个叠片表面被胶层覆盖，粘接面积大，粘接强度及刚性更高，连续胶层提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供了更好的片间绝缘，整体耐压能力也更强；但自粘铁芯表面胶层比常规硅钢材料厚，铁芯的叠压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系数比模内点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胶铁芯略低。</w:t>
            </w:r>
          </w:p>
          <w:p w14:paraId="2DC9F019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0E71D0E3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、问：公司目前使用粘胶铁芯工艺的客户业务情况如何？</w:t>
            </w:r>
          </w:p>
          <w:p w14:paraId="3F675AF9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both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答：业务基本保持稳定。</w:t>
            </w:r>
          </w:p>
          <w:p w14:paraId="7B19D95F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29B50654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、问：根据已公开数据显示，公司新能源汽车驱动电机铁芯的收入占比大约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60%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，且公司拥有宝马等优质客户。请问该产品的技术壁垒是什么？公司相对同行的核心竞争力？有无新客户的拓展情况？</w:t>
            </w:r>
          </w:p>
          <w:p w14:paraId="03DEE0BE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</w:t>
            </w:r>
          </w:p>
          <w:p w14:paraId="13D0910D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）技术壁垒</w:t>
            </w:r>
          </w:p>
          <w:p w14:paraId="4359573F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新能源驱动电机铁芯产品属于多技术融合型产品，其综合了金属材料、机械工程、化学、电子、机电等多个学科的技术，加工工艺要求比较高，且直接影响新能源汽车续航能力，铁芯的精度要求高、叠压系数要求高、批量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量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产成本控制要求高，新进入企业难以在短期内实现多学科的交叉整合，新进入企业除了掌握核心工艺和关键技术，具备较高的综合技术积淀的同时，需要具备稳定的量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产成本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管控能力。</w:t>
            </w:r>
          </w:p>
          <w:p w14:paraId="5574D637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）相对同行竞争优势</w:t>
            </w:r>
          </w:p>
          <w:p w14:paraId="7E4ADD02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lastRenderedPageBreak/>
              <w:t>公司在精密冲压铁芯冲压技术、生产工艺，精密冲压模具设计及制造等方面掌握了多项核心技术，是公司核心竞争力的重要支柱。</w:t>
            </w:r>
          </w:p>
          <w:p w14:paraId="190D9E8C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）新客户拓展</w:t>
            </w:r>
          </w:p>
          <w:p w14:paraId="3A882E69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公司持续开拓新客户、新项目，保持持续增长，公司具备持续获取新客户和新项目定点的能力。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请持续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关注我司未来业务公告。</w:t>
            </w:r>
          </w:p>
          <w:p w14:paraId="15694BE9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0391F45A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、问：微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特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电机产品的增长潜力如何？在工业机器人和人型机器人零部件方面的布局拓展？机器人方面的客户？</w:t>
            </w:r>
          </w:p>
          <w:p w14:paraId="1157D7D9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</w:p>
          <w:p w14:paraId="72004751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）微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特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电机产品约占精密冲压铁芯产品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12%-15%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左右，属于公司传统优势产品，目前增长趋势相对稳定。</w:t>
            </w:r>
          </w:p>
          <w:p w14:paraId="0FBCE411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）在工业机器人领域，我们会进一步深入挖掘现有客户的新增需求与开发新客户。</w:t>
            </w:r>
          </w:p>
          <w:p w14:paraId="5C861A8B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）在人型机器人领域的应用上，公司会根据市场发展趋势布局相关产业链。</w:t>
            </w:r>
          </w:p>
          <w:p w14:paraId="1FB53372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058353F1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</w:t>
            </w: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 Regular" w:eastAsiaTheme="minorEastAsia" w:hAnsi="Times New Roman Regular" w:cs="Times New Roman Regular"/>
                <w:bCs/>
                <w:sz w:val="24"/>
                <w:szCs w:val="24"/>
                <w:lang w:eastAsia="zh-CN"/>
              </w:rPr>
              <w:t>目前公司海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外在手订单情况如何？地缘政治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贸易保护等相关政策是否收紧，公司会如何应对此类情况？</w:t>
            </w:r>
          </w:p>
          <w:p w14:paraId="1A37E885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</w:t>
            </w:r>
          </w:p>
          <w:p w14:paraId="6DDFF0FC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）公司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2023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2024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年（报告期内）外销金额占主营业务收入比例分别为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13.24%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35.08%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和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29.63%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，主要增长来源对于欧洲宝马、采埃孚新增的出口业务，得益于在国际市场的持续深耕及与外资企业的持续合作，公司在海外业务方面的布局已初具成效。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</w:p>
          <w:p w14:paraId="432CD601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地缘政治和贸易保护等政策是有一定影响，但最终客户还是会平衡采购成本与供应链稳定性，与合适的供应商进行长期合作，后续公司拟在海外搭建营销团队，建立完善的售后服务体系，提高客户需求响应能力。在产能建设方面，公司积极在海外建设生产基地，通过控股子公司华晟创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精密科技（江苏）有限公司在墨西哥投资设立工厂，缩短与全球客户的距离，实现就近配套，以降低生产成本和运输成本，提高产品在当地的竞争力。</w:t>
            </w:r>
          </w:p>
          <w:p w14:paraId="2A1AB1EA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CN"/>
              </w:rPr>
            </w:pPr>
          </w:p>
          <w:p w14:paraId="5D2837C5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</w:t>
            </w: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国内新能源车增速放缓，整车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端价格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压力大对零部件的传导，公司有何感受？如何应对？</w:t>
            </w:r>
          </w:p>
          <w:p w14:paraId="6AF071A2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</w:p>
          <w:p w14:paraId="2544315D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）新能源汽车行业从狂飙增长步入平稳期，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后续车企的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竞争会更关注技术和质量的提升，有利于公司这样的有新技术储备的头部厂商。</w:t>
            </w:r>
          </w:p>
          <w:p w14:paraId="44268AA3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lastRenderedPageBreak/>
              <w:t>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）虽然目前新能源汽车下游竞争比较激烈，对上游供应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商存在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一定影响，但是公司相信持续打造自己在技术、成本上的竞争力，还是可以取得一定竞争优势的。比如在技术上，公司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点胶技术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具有较高的技术壁垒，目前行业内仅少数厂商具备量产能力，短期内竞争情况相对缓和，公司已具备先发优势，能够维持高水平竞争力；成本管控上，公司具备较强的成本管控能力，同时公司完整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掌握点胶控制系统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胶盘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和专用胶水的设计和供应，相较于其他厂商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外购点胶系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统，在成本方面更具优势，在未来竞争中也能保持优势地位。</w:t>
            </w:r>
          </w:p>
          <w:p w14:paraId="15A15E7E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此外，国家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反内卷式竞争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政策导向的背景下，国内汽车行业积极应对，我们作为供应商的毛利率和利润空间有望迎来结构性改善。</w:t>
            </w:r>
          </w:p>
          <w:p w14:paraId="6AB2C1FE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66C90C48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、问</w:t>
            </w: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 Regular" w:eastAsiaTheme="minorEastAsia" w:hAnsi="Times New Roman Regular" w:cs="Times New Roman Regular"/>
                <w:bCs/>
                <w:sz w:val="24"/>
                <w:szCs w:val="24"/>
                <w:lang w:eastAsia="zh-CN"/>
              </w:rPr>
              <w:t>公司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募投项目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的建设投产节奏如何？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</w:p>
          <w:p w14:paraId="49E90C49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答：基于合</w:t>
            </w:r>
            <w:proofErr w:type="gram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要求，我们会在上市后的两年内完成。</w:t>
            </w:r>
          </w:p>
          <w:p w14:paraId="52DD3E01" w14:textId="77777777" w:rsidR="00F31F45" w:rsidRDefault="00F31F45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</w:p>
          <w:p w14:paraId="79BA9F19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  <w:t>风险提示：以上如涉及对行业预测、公司发展战略和经营计划等相关内容，不能视作公司或公司管理层对行业、公司发展或业绩的承诺和保证，敬请广大投资者注意投资风险。</w:t>
            </w:r>
          </w:p>
        </w:tc>
      </w:tr>
      <w:tr w:rsidR="00F31F45" w14:paraId="5CF6DF66" w14:textId="77777777">
        <w:trPr>
          <w:trHeight w:val="829"/>
        </w:trPr>
        <w:tc>
          <w:tcPr>
            <w:tcW w:w="1592" w:type="dxa"/>
            <w:vAlign w:val="center"/>
          </w:tcPr>
          <w:p w14:paraId="0221A529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lastRenderedPageBreak/>
              <w:t>附件清单（如有</w:t>
            </w:r>
            <w:proofErr w:type="spell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）</w:t>
            </w:r>
          </w:p>
        </w:tc>
        <w:tc>
          <w:tcPr>
            <w:tcW w:w="6908" w:type="dxa"/>
            <w:vAlign w:val="center"/>
          </w:tcPr>
          <w:p w14:paraId="5FC9D4D5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无</w:t>
            </w:r>
          </w:p>
        </w:tc>
      </w:tr>
      <w:tr w:rsidR="00F31F45" w14:paraId="7C08A225" w14:textId="77777777">
        <w:trPr>
          <w:trHeight w:val="697"/>
        </w:trPr>
        <w:tc>
          <w:tcPr>
            <w:tcW w:w="1592" w:type="dxa"/>
            <w:vAlign w:val="center"/>
          </w:tcPr>
          <w:p w14:paraId="05E52BBE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6908" w:type="dxa"/>
            <w:vAlign w:val="center"/>
          </w:tcPr>
          <w:p w14:paraId="43CBC9C7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2025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年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9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月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汇总</w:t>
            </w:r>
          </w:p>
        </w:tc>
      </w:tr>
    </w:tbl>
    <w:p w14:paraId="259F11F0" w14:textId="77777777" w:rsidR="00F31F45" w:rsidRDefault="00F31F45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368E2C81" w14:textId="77777777" w:rsidR="00F31F45" w:rsidRDefault="00F31F45">
      <w:pPr>
        <w:spacing w:line="310" w:lineRule="atLeast"/>
        <w:rPr>
          <w:sz w:val="24"/>
          <w:szCs w:val="24"/>
          <w:lang w:eastAsia="zh-CN"/>
        </w:rPr>
      </w:pPr>
    </w:p>
    <w:p w14:paraId="4EC90096" w14:textId="77777777" w:rsidR="00F31F45" w:rsidRDefault="00F31F45">
      <w:pPr>
        <w:rPr>
          <w:sz w:val="24"/>
          <w:szCs w:val="24"/>
        </w:rPr>
      </w:pPr>
    </w:p>
    <w:sectPr w:rsidR="00F31F45">
      <w:pgSz w:w="11910" w:h="16840"/>
      <w:pgMar w:top="1420" w:right="1560" w:bottom="993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D19DB" w14:textId="77777777" w:rsidR="005E51EE" w:rsidRDefault="005E51EE" w:rsidP="00D00A94">
      <w:r>
        <w:separator/>
      </w:r>
    </w:p>
  </w:endnote>
  <w:endnote w:type="continuationSeparator" w:id="0">
    <w:p w14:paraId="0F297A2C" w14:textId="77777777" w:rsidR="005E51EE" w:rsidRDefault="005E51EE" w:rsidP="00D0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5F3CD" w14:textId="77777777" w:rsidR="005E51EE" w:rsidRDefault="005E51EE" w:rsidP="00D00A94">
      <w:r>
        <w:separator/>
      </w:r>
    </w:p>
  </w:footnote>
  <w:footnote w:type="continuationSeparator" w:id="0">
    <w:p w14:paraId="18B550E9" w14:textId="77777777" w:rsidR="005E51EE" w:rsidRDefault="005E51EE" w:rsidP="00D0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5E"/>
    <w:rsid w:val="DF8729F8"/>
    <w:rsid w:val="DFFBF284"/>
    <w:rsid w:val="FEFBB9FC"/>
    <w:rsid w:val="00001A38"/>
    <w:rsid w:val="00066E80"/>
    <w:rsid w:val="001C0DF0"/>
    <w:rsid w:val="001C6B56"/>
    <w:rsid w:val="00212510"/>
    <w:rsid w:val="002323CA"/>
    <w:rsid w:val="002C721F"/>
    <w:rsid w:val="00302211"/>
    <w:rsid w:val="003C7E44"/>
    <w:rsid w:val="003E5351"/>
    <w:rsid w:val="00404341"/>
    <w:rsid w:val="00440479"/>
    <w:rsid w:val="00441207"/>
    <w:rsid w:val="00567F6D"/>
    <w:rsid w:val="005A148F"/>
    <w:rsid w:val="005A36D0"/>
    <w:rsid w:val="005A523F"/>
    <w:rsid w:val="005E51EE"/>
    <w:rsid w:val="00655812"/>
    <w:rsid w:val="00683BE8"/>
    <w:rsid w:val="006A235E"/>
    <w:rsid w:val="006B3D01"/>
    <w:rsid w:val="006E59E3"/>
    <w:rsid w:val="0073498C"/>
    <w:rsid w:val="007B3976"/>
    <w:rsid w:val="007F5459"/>
    <w:rsid w:val="0085288C"/>
    <w:rsid w:val="00852BE5"/>
    <w:rsid w:val="009E4BF6"/>
    <w:rsid w:val="00A102B4"/>
    <w:rsid w:val="00A11F10"/>
    <w:rsid w:val="00A90B41"/>
    <w:rsid w:val="00AE22A1"/>
    <w:rsid w:val="00B25EAD"/>
    <w:rsid w:val="00B95B2A"/>
    <w:rsid w:val="00C97B08"/>
    <w:rsid w:val="00D00A94"/>
    <w:rsid w:val="00D01464"/>
    <w:rsid w:val="00D35053"/>
    <w:rsid w:val="00D41353"/>
    <w:rsid w:val="00DF65CC"/>
    <w:rsid w:val="00E76FED"/>
    <w:rsid w:val="00F31F45"/>
    <w:rsid w:val="4EFDD498"/>
    <w:rsid w:val="5EF7DED0"/>
    <w:rsid w:val="6BFF6601"/>
    <w:rsid w:val="6FFDD8C1"/>
    <w:rsid w:val="71EB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80C97"/>
  <w15:docId w15:val="{AC7B09F7-2FDA-421C-9249-1F16C01E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"/>
      <w:ind w:left="108" w:right="950"/>
      <w:jc w:val="center"/>
    </w:pPr>
  </w:style>
  <w:style w:type="character" w:customStyle="1" w:styleId="ab">
    <w:name w:val="页眉 字符"/>
    <w:basedOn w:val="a0"/>
    <w:link w:val="aa"/>
    <w:uiPriority w:val="99"/>
    <w:rPr>
      <w:rFonts w:ascii="宋体" w:eastAsia="宋体" w:hAnsi="宋体" w:cs="宋体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宋体" w:eastAsia="宋体" w:hAnsi="宋体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宋体" w:eastAsia="宋体" w:hAnsi="宋体" w:cs="宋体"/>
    </w:rPr>
  </w:style>
  <w:style w:type="character" w:customStyle="1" w:styleId="ad">
    <w:name w:val="批注主题 字符"/>
    <w:basedOn w:val="a4"/>
    <w:link w:val="ac"/>
    <w:uiPriority w:val="99"/>
    <w:semiHidden/>
    <w:rPr>
      <w:rFonts w:ascii="宋体" w:eastAsia="宋体" w:hAnsi="宋体" w:cs="宋体"/>
      <w:b/>
      <w:bCs/>
    </w:rPr>
  </w:style>
  <w:style w:type="character" w:customStyle="1" w:styleId="a7">
    <w:name w:val="批注框文本 字符"/>
    <w:basedOn w:val="a0"/>
    <w:link w:val="a6"/>
    <w:uiPriority w:val="99"/>
    <w:semiHidden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9736567-20A1-408A-AA5C-F850FE6D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hrr</cp:lastModifiedBy>
  <cp:revision>10</cp:revision>
  <dcterms:created xsi:type="dcterms:W3CDTF">2025-10-22T01:25:00Z</dcterms:created>
  <dcterms:modified xsi:type="dcterms:W3CDTF">2025-10-27T05:15:00Z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2025-09-17T00:00:00Z</vt:filetime>
  </property>
  <property fmtid="{D5CDD505-2E9C-101B-9397-08002B2CF9AE}" pid="5" name="KSOProductBuildVer">
    <vt:lpwstr>2052-7.3.1.8967</vt:lpwstr>
  </property>
  <property fmtid="{D5CDD505-2E9C-101B-9397-08002B2CF9AE}" pid="6" name="ICV">
    <vt:lpwstr>86BA9837D540719A0406FB680F2009A2_43</vt:lpwstr>
  </property>
</Properties>
</file>