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31CD" w14:textId="77777777" w:rsidR="00EC0B09" w:rsidRDefault="00000000">
      <w:pPr>
        <w:pStyle w:val="a4"/>
        <w:spacing w:before="1" w:line="48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68790492" w14:textId="77777777" w:rsidR="00EC0B09" w:rsidRDefault="00000000">
      <w:pPr>
        <w:pStyle w:val="a4"/>
        <w:spacing w:before="1" w:line="48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0FE832AB" w14:textId="77777777" w:rsidR="00EC0B09" w:rsidRDefault="00EC0B09">
      <w:pPr>
        <w:pStyle w:val="a4"/>
        <w:spacing w:before="1" w:line="480" w:lineRule="exact"/>
        <w:ind w:left="0" w:right="453"/>
        <w:rPr>
          <w:rFonts w:hint="eastAsia"/>
          <w:b/>
        </w:rPr>
      </w:pPr>
    </w:p>
    <w:p w14:paraId="6D8D412D" w14:textId="77777777" w:rsidR="00EC0B09" w:rsidRDefault="00000000" w:rsidP="00632DFC">
      <w:pPr>
        <w:pStyle w:val="a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14:textId="77777777" w:rsidR="00EC0B09" w:rsidRDefault="00000000" w:rsidP="00632DFC">
      <w:pPr>
        <w:pStyle w:val="a4"/>
        <w:spacing w:before="1" w:line="480" w:lineRule="exact"/>
        <w:ind w:left="0" w:right="453"/>
        <w:jc w:val="center"/>
        <w:rPr>
          <w:rFonts w:hint="eastAsia"/>
          <w:b/>
          <w:bCs/>
          <w:sz w:val="36"/>
          <w:szCs w:val="36"/>
        </w:rPr>
      </w:pPr>
      <w:r>
        <w:rPr>
          <w:b/>
          <w:bCs/>
          <w:sz w:val="36"/>
          <w:szCs w:val="36"/>
        </w:rPr>
        <w:t>投资者关系活动记录表</w:t>
      </w:r>
    </w:p>
    <w:p w14:paraId="682830B8" w14:textId="77777777" w:rsidR="00EC0B09" w:rsidRDefault="00EC0B09">
      <w:pPr>
        <w:tabs>
          <w:tab w:val="left" w:pos="6306"/>
        </w:tabs>
        <w:spacing w:before="74" w:line="480" w:lineRule="exact"/>
        <w:rPr>
          <w:rFonts w:eastAsia="等线" w:hint="eastAsia"/>
          <w:b/>
          <w:bCs/>
          <w:sz w:val="21"/>
          <w:szCs w:val="21"/>
        </w:rPr>
      </w:pPr>
    </w:p>
    <w:tbl>
      <w:tblPr>
        <w:tblW w:w="6456"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484"/>
        <w:gridCol w:w="2679"/>
        <w:gridCol w:w="2764"/>
        <w:gridCol w:w="2759"/>
      </w:tblGrid>
      <w:tr w:rsidR="00EC0B09" w14:paraId="312E949A" w14:textId="77777777">
        <w:trPr>
          <w:trHeight w:val="1161"/>
          <w:jc w:val="center"/>
        </w:trPr>
        <w:tc>
          <w:tcPr>
            <w:tcW w:w="1162" w:type="pct"/>
            <w:tcBorders>
              <w:bottom w:val="single" w:sz="6" w:space="0" w:color="000000"/>
              <w:right w:val="single" w:sz="6" w:space="0" w:color="000000"/>
            </w:tcBorders>
            <w:vAlign w:val="center"/>
          </w:tcPr>
          <w:p w14:paraId="0790969D" w14:textId="77777777" w:rsidR="00EC0B09" w:rsidRDefault="00000000" w:rsidP="00632DFC">
            <w:pPr>
              <w:pStyle w:val="TableParagraph"/>
              <w:spacing w:line="480" w:lineRule="exact"/>
              <w:ind w:firstLineChars="100" w:firstLine="221"/>
              <w:rPr>
                <w:rFonts w:hint="eastAsia"/>
                <w:b/>
                <w:bCs/>
              </w:rPr>
            </w:pPr>
            <w:r>
              <w:rPr>
                <w:rFonts w:hint="eastAsia"/>
                <w:b/>
                <w:bCs/>
              </w:rPr>
              <w:t>投资者关系活动类别</w:t>
            </w:r>
          </w:p>
        </w:tc>
        <w:tc>
          <w:tcPr>
            <w:tcW w:w="1253" w:type="pct"/>
            <w:tcBorders>
              <w:left w:val="single" w:sz="6" w:space="0" w:color="000000"/>
              <w:bottom w:val="single" w:sz="6" w:space="0" w:color="000000"/>
              <w:right w:val="nil"/>
            </w:tcBorders>
          </w:tcPr>
          <w:p w14:paraId="654753DA" w14:textId="77777777" w:rsidR="00EC0B09" w:rsidRDefault="00000000" w:rsidP="00632DFC">
            <w:pPr>
              <w:pStyle w:val="TableParagraph"/>
              <w:spacing w:line="480" w:lineRule="exact"/>
              <w:rPr>
                <w:rFonts w:hint="eastAsia"/>
              </w:rPr>
            </w:pPr>
            <w:r>
              <w:t xml:space="preserve">□特定对象调研 </w:t>
            </w:r>
          </w:p>
          <w:p w14:paraId="5578A4EA" w14:textId="77777777" w:rsidR="00EC0B09" w:rsidRDefault="00000000" w:rsidP="00632DFC">
            <w:pPr>
              <w:pStyle w:val="TableParagraph"/>
              <w:spacing w:line="480" w:lineRule="exact"/>
              <w:rPr>
                <w:rFonts w:hint="eastAsia"/>
              </w:rPr>
            </w:pPr>
            <w:r>
              <w:sym w:font="Wingdings 2" w:char="0052"/>
            </w:r>
            <w:r>
              <w:t xml:space="preserve">业绩说明会 </w:t>
            </w:r>
          </w:p>
          <w:p w14:paraId="1E70725D" w14:textId="77777777" w:rsidR="00EC0B09" w:rsidRDefault="00000000" w:rsidP="00632DFC">
            <w:pPr>
              <w:pStyle w:val="TableParagraph"/>
              <w:spacing w:line="480" w:lineRule="exact"/>
              <w:rPr>
                <w:rFonts w:hint="eastAsia"/>
              </w:rPr>
            </w:pPr>
            <w:r>
              <w:sym w:font="Wingdings 2" w:char="0052"/>
            </w:r>
            <w:r>
              <w:t xml:space="preserve">现场参观 </w:t>
            </w:r>
          </w:p>
        </w:tc>
        <w:tc>
          <w:tcPr>
            <w:tcW w:w="1293" w:type="pct"/>
            <w:tcBorders>
              <w:left w:val="nil"/>
              <w:bottom w:val="single" w:sz="6" w:space="0" w:color="000000"/>
              <w:right w:val="nil"/>
            </w:tcBorders>
          </w:tcPr>
          <w:p w14:paraId="346786E0" w14:textId="77777777" w:rsidR="00EC0B09" w:rsidRDefault="00000000" w:rsidP="00632DFC">
            <w:pPr>
              <w:pStyle w:val="TableParagraph"/>
              <w:spacing w:line="480" w:lineRule="exact"/>
              <w:rPr>
                <w:rFonts w:hint="eastAsia"/>
              </w:rPr>
            </w:pPr>
            <w:r>
              <w:sym w:font="Wingdings 2" w:char="0052"/>
            </w:r>
            <w:r>
              <w:t xml:space="preserve">分析师会议 </w:t>
            </w:r>
          </w:p>
          <w:p w14:paraId="68E71A69" w14:textId="77777777" w:rsidR="00EC0B09" w:rsidRDefault="00000000" w:rsidP="00632DFC">
            <w:pPr>
              <w:pStyle w:val="TableParagraph"/>
              <w:spacing w:line="480" w:lineRule="exact"/>
              <w:rPr>
                <w:rFonts w:hint="eastAsia"/>
              </w:rPr>
            </w:pPr>
            <w:r>
              <w:t xml:space="preserve">□新闻发布会 </w:t>
            </w:r>
          </w:p>
          <w:p w14:paraId="5DAA253D" w14:textId="77777777" w:rsidR="00EC0B09" w:rsidRDefault="00000000" w:rsidP="00632DFC">
            <w:pPr>
              <w:pStyle w:val="TableParagraph"/>
              <w:spacing w:line="480" w:lineRule="exact"/>
              <w:rPr>
                <w:rFonts w:hint="eastAsia"/>
                <w:lang w:val="en-US"/>
              </w:rPr>
            </w:pPr>
            <w:r>
              <w:sym w:font="Wingdings 2" w:char="0052"/>
            </w:r>
            <w:r>
              <w:t>其他</w:t>
            </w:r>
            <w:r>
              <w:rPr>
                <w:rFonts w:hint="eastAsia"/>
              </w:rPr>
              <w:t>（</w:t>
            </w:r>
            <w:r>
              <w:rPr>
                <w:rFonts w:hint="eastAsia"/>
                <w:lang w:val="en-US"/>
              </w:rPr>
              <w:t>2025年第三季度业绩交流会/电话会议</w:t>
            </w:r>
            <w:r>
              <w:rPr>
                <w:rFonts w:hint="eastAsia"/>
              </w:rPr>
              <w:t>）</w:t>
            </w:r>
            <w:r>
              <w:rPr>
                <w:rFonts w:hint="eastAsia"/>
                <w:lang w:val="en-US"/>
              </w:rPr>
              <w:t xml:space="preserve">       </w:t>
            </w:r>
          </w:p>
        </w:tc>
        <w:tc>
          <w:tcPr>
            <w:tcW w:w="1290" w:type="pct"/>
            <w:tcBorders>
              <w:left w:val="nil"/>
              <w:bottom w:val="single" w:sz="6" w:space="0" w:color="000000"/>
            </w:tcBorders>
          </w:tcPr>
          <w:p w14:paraId="6459BA76" w14:textId="77777777" w:rsidR="00EC0B09" w:rsidRDefault="00000000" w:rsidP="00632DFC">
            <w:pPr>
              <w:pStyle w:val="TableParagraph"/>
              <w:spacing w:line="480" w:lineRule="exact"/>
              <w:rPr>
                <w:rFonts w:hint="eastAsia"/>
              </w:rPr>
            </w:pPr>
            <w:r>
              <w:sym w:font="Wingdings 2" w:char="00A3"/>
            </w:r>
            <w:r>
              <w:t>媒</w:t>
            </w:r>
            <w:r>
              <w:rPr>
                <w:rFonts w:hint="eastAsia"/>
              </w:rPr>
              <w:t>体采访</w:t>
            </w:r>
          </w:p>
          <w:p w14:paraId="07BF97A9" w14:textId="77777777" w:rsidR="00EC0B09" w:rsidRDefault="00000000" w:rsidP="00632DFC">
            <w:pPr>
              <w:pStyle w:val="TableParagraph"/>
              <w:spacing w:line="480" w:lineRule="exact"/>
              <w:rPr>
                <w:rFonts w:hint="eastAsia"/>
                <w:lang w:val="en-US"/>
              </w:rPr>
            </w:pPr>
            <w:r>
              <w:sym w:font="Wingdings 2" w:char="00A3"/>
            </w:r>
            <w:r>
              <w:t>路</w:t>
            </w:r>
            <w:r>
              <w:rPr>
                <w:rFonts w:hint="eastAsia"/>
              </w:rPr>
              <w:t>演</w:t>
            </w:r>
            <w:r>
              <w:t xml:space="preserve">活动 </w:t>
            </w:r>
          </w:p>
          <w:p w14:paraId="75474706" w14:textId="77777777" w:rsidR="00EC0B09" w:rsidRDefault="00EC0B09" w:rsidP="00632DFC">
            <w:pPr>
              <w:pStyle w:val="TableParagraph"/>
              <w:spacing w:line="480" w:lineRule="exact"/>
              <w:rPr>
                <w:rFonts w:hint="eastAsia"/>
              </w:rPr>
            </w:pPr>
          </w:p>
        </w:tc>
      </w:tr>
      <w:tr w:rsidR="00EC0B09" w:rsidRPr="00632DFC" w14:paraId="1B2D057F" w14:textId="77777777">
        <w:trPr>
          <w:trHeight w:val="748"/>
          <w:jc w:val="center"/>
        </w:trPr>
        <w:tc>
          <w:tcPr>
            <w:tcW w:w="1162" w:type="pct"/>
            <w:tcBorders>
              <w:top w:val="single" w:sz="6" w:space="0" w:color="000000"/>
              <w:bottom w:val="single" w:sz="6" w:space="0" w:color="000000"/>
              <w:right w:val="single" w:sz="6" w:space="0" w:color="000000"/>
            </w:tcBorders>
            <w:vAlign w:val="center"/>
          </w:tcPr>
          <w:p w14:paraId="0770B8F8" w14:textId="77777777" w:rsidR="00EC0B09" w:rsidRDefault="00000000" w:rsidP="00632DFC">
            <w:pPr>
              <w:pStyle w:val="TableParagraph"/>
              <w:spacing w:line="480" w:lineRule="exact"/>
              <w:ind w:firstLineChars="100" w:firstLine="221"/>
              <w:rPr>
                <w:rFonts w:hint="eastAsia"/>
                <w:b/>
                <w:bCs/>
              </w:rPr>
            </w:pPr>
            <w:r>
              <w:rPr>
                <w:rFonts w:hint="eastAsia"/>
                <w:b/>
                <w:bCs/>
              </w:rPr>
              <w:t>参与单位</w:t>
            </w:r>
          </w:p>
        </w:tc>
        <w:tc>
          <w:tcPr>
            <w:tcW w:w="3837" w:type="pct"/>
            <w:gridSpan w:val="3"/>
            <w:tcBorders>
              <w:top w:val="single" w:sz="6" w:space="0" w:color="000000"/>
              <w:left w:val="single" w:sz="6" w:space="0" w:color="000000"/>
              <w:bottom w:val="single" w:sz="6" w:space="0" w:color="000000"/>
            </w:tcBorders>
            <w:vAlign w:val="center"/>
          </w:tcPr>
          <w:p w14:paraId="2A3D947F" w14:textId="77777777" w:rsidR="00632DFC" w:rsidRDefault="00000000" w:rsidP="00632DFC">
            <w:pPr>
              <w:pStyle w:val="TableParagraph"/>
              <w:spacing w:line="480" w:lineRule="exact"/>
              <w:jc w:val="both"/>
              <w:rPr>
                <w:lang w:val="en-US"/>
              </w:rPr>
            </w:pPr>
            <w:r>
              <w:rPr>
                <w:rFonts w:hint="eastAsia"/>
                <w:lang w:val="en-US"/>
              </w:rPr>
              <w:t>中信证券、中金公司、长江证券、开源证券、申万宏源、国泰海通、国盛证券、</w:t>
            </w:r>
          </w:p>
          <w:p w14:paraId="3B96D2D7" w14:textId="77777777" w:rsidR="00632DFC" w:rsidRDefault="00000000" w:rsidP="00632DFC">
            <w:pPr>
              <w:pStyle w:val="TableParagraph"/>
              <w:spacing w:line="480" w:lineRule="exact"/>
              <w:jc w:val="both"/>
              <w:rPr>
                <w:lang w:val="en-US"/>
              </w:rPr>
            </w:pPr>
            <w:r>
              <w:rPr>
                <w:rFonts w:hint="eastAsia"/>
                <w:lang w:val="en-US"/>
              </w:rPr>
              <w:t>广发证券、国联民生、天风证券、华鑫证券、国海证券、浙商证券、招商证券、</w:t>
            </w:r>
          </w:p>
          <w:p w14:paraId="7BCA61BD" w14:textId="77777777" w:rsidR="00632DFC" w:rsidRDefault="00000000" w:rsidP="00632DFC">
            <w:pPr>
              <w:pStyle w:val="TableParagraph"/>
              <w:spacing w:line="480" w:lineRule="exact"/>
              <w:jc w:val="both"/>
              <w:rPr>
                <w:lang w:val="en-US"/>
              </w:rPr>
            </w:pPr>
            <w:r>
              <w:rPr>
                <w:rFonts w:hint="eastAsia"/>
                <w:lang w:val="en-US"/>
              </w:rPr>
              <w:t>兴业证券、华福证券、国金证券、方正证券、华创证券、华源证券、光大证券、</w:t>
            </w:r>
          </w:p>
          <w:p w14:paraId="4A9304E4" w14:textId="77777777" w:rsidR="00632DFC" w:rsidRDefault="00000000" w:rsidP="00632DFC">
            <w:pPr>
              <w:pStyle w:val="TableParagraph"/>
              <w:spacing w:line="480" w:lineRule="exact"/>
              <w:jc w:val="both"/>
              <w:rPr>
                <w:lang w:val="en-US"/>
              </w:rPr>
            </w:pPr>
            <w:r>
              <w:rPr>
                <w:rFonts w:hint="eastAsia"/>
                <w:lang w:val="en-US"/>
              </w:rPr>
              <w:t>财通证券、东兴证券、华安证券、</w:t>
            </w:r>
            <w:r w:rsidR="00632DFC">
              <w:rPr>
                <w:rFonts w:hint="eastAsia"/>
                <w:lang w:val="en-US"/>
              </w:rPr>
              <w:t>混沌投资、</w:t>
            </w:r>
            <w:r>
              <w:rPr>
                <w:rFonts w:hint="eastAsia"/>
                <w:lang w:val="en-US"/>
              </w:rPr>
              <w:t>国投证券、西部证券、泰康资产、</w:t>
            </w:r>
          </w:p>
          <w:p w14:paraId="13B7FBDE" w14:textId="3A182011" w:rsidR="00632DFC" w:rsidRDefault="00000000" w:rsidP="00632DFC">
            <w:pPr>
              <w:pStyle w:val="TableParagraph"/>
              <w:spacing w:line="480" w:lineRule="exact"/>
              <w:jc w:val="both"/>
              <w:rPr>
                <w:lang w:val="en-US"/>
              </w:rPr>
            </w:pPr>
            <w:r>
              <w:rPr>
                <w:rFonts w:hint="eastAsia"/>
                <w:lang w:val="en-US"/>
              </w:rPr>
              <w:t>盈峰资本、大家资产、中信资管、博远基金、成泉资本、卫宁私募、嘉合基金、</w:t>
            </w:r>
          </w:p>
          <w:p w14:paraId="099105A8" w14:textId="77777777" w:rsidR="00632DFC" w:rsidRDefault="00632DFC" w:rsidP="00632DFC">
            <w:pPr>
              <w:pStyle w:val="TableParagraph"/>
              <w:spacing w:line="480" w:lineRule="exact"/>
              <w:jc w:val="both"/>
              <w:rPr>
                <w:lang w:val="en-US"/>
              </w:rPr>
            </w:pPr>
            <w:r>
              <w:rPr>
                <w:rFonts w:hint="eastAsia"/>
                <w:lang w:val="en-US"/>
              </w:rPr>
              <w:t>第一创业证券、</w:t>
            </w:r>
            <w:r w:rsidR="00000000">
              <w:rPr>
                <w:rFonts w:hint="eastAsia"/>
                <w:lang w:val="en-US"/>
              </w:rPr>
              <w:t>诚盛投资、平安基金、永赢基金、尚诚资产、创金合信基金、</w:t>
            </w:r>
          </w:p>
          <w:p w14:paraId="68DB356D" w14:textId="77777777" w:rsidR="00632DFC" w:rsidRDefault="00000000" w:rsidP="00632DFC">
            <w:pPr>
              <w:pStyle w:val="TableParagraph"/>
              <w:spacing w:line="480" w:lineRule="exact"/>
              <w:jc w:val="both"/>
              <w:rPr>
                <w:lang w:val="en-US"/>
              </w:rPr>
            </w:pPr>
            <w:r>
              <w:rPr>
                <w:rFonts w:hint="eastAsia"/>
                <w:lang w:val="en-US"/>
              </w:rPr>
              <w:t>红土创新基金、国投瑞银基金、三井住友投资、东吴人寿保险、英轩捷信投资、</w:t>
            </w:r>
          </w:p>
          <w:p w14:paraId="28490F1D" w14:textId="1B92C6A4" w:rsidR="00EC0B09" w:rsidRDefault="00000000" w:rsidP="00632DFC">
            <w:pPr>
              <w:pStyle w:val="TableParagraph"/>
              <w:spacing w:line="480" w:lineRule="exact"/>
              <w:jc w:val="both"/>
              <w:rPr>
                <w:rFonts w:hint="eastAsia"/>
                <w:lang w:val="en-US"/>
              </w:rPr>
            </w:pPr>
            <w:r>
              <w:rPr>
                <w:rFonts w:hint="eastAsia"/>
                <w:lang w:val="en-US"/>
              </w:rPr>
              <w:t>高信百诺投资、光大保德信基金、农银汇理基金、福泽源基金、TX Capital (HK) Limited、Cephei Capital Management (Hong Kong) Limited</w:t>
            </w:r>
          </w:p>
          <w:p w14:paraId="10DC391F" w14:textId="77777777" w:rsidR="00EC0B09" w:rsidRDefault="00000000" w:rsidP="00632DFC">
            <w:pPr>
              <w:pStyle w:val="TableParagraph"/>
              <w:spacing w:line="480" w:lineRule="exact"/>
              <w:jc w:val="both"/>
              <w:rPr>
                <w:rFonts w:hint="eastAsia"/>
                <w:lang w:val="en-US"/>
              </w:rPr>
            </w:pPr>
            <w:r>
              <w:rPr>
                <w:rFonts w:hint="eastAsia"/>
                <w:lang w:val="en-US"/>
              </w:rPr>
              <w:t>（以上排名不分先后）</w:t>
            </w:r>
          </w:p>
        </w:tc>
      </w:tr>
      <w:tr w:rsidR="00EC0B09" w14:paraId="7BBCFE15" w14:textId="77777777">
        <w:trPr>
          <w:trHeight w:val="748"/>
          <w:jc w:val="center"/>
        </w:trPr>
        <w:tc>
          <w:tcPr>
            <w:tcW w:w="1162" w:type="pct"/>
            <w:tcBorders>
              <w:top w:val="single" w:sz="6" w:space="0" w:color="000000"/>
              <w:bottom w:val="single" w:sz="6" w:space="0" w:color="000000"/>
              <w:right w:val="single" w:sz="6" w:space="0" w:color="000000"/>
            </w:tcBorders>
            <w:vAlign w:val="center"/>
          </w:tcPr>
          <w:p w14:paraId="1BAD2C5F" w14:textId="77777777" w:rsidR="00EC0B09" w:rsidRDefault="00000000" w:rsidP="00632DFC">
            <w:pPr>
              <w:pStyle w:val="TableParagraph"/>
              <w:spacing w:line="480" w:lineRule="exact"/>
              <w:ind w:firstLineChars="100" w:firstLine="221"/>
              <w:rPr>
                <w:rFonts w:hint="eastAsia"/>
                <w:b/>
                <w:bCs/>
              </w:rPr>
            </w:pPr>
            <w:r>
              <w:rPr>
                <w:rFonts w:hint="eastAsia"/>
                <w:b/>
                <w:bCs/>
              </w:rPr>
              <w:t>时间</w:t>
            </w:r>
          </w:p>
        </w:tc>
        <w:tc>
          <w:tcPr>
            <w:tcW w:w="3837" w:type="pct"/>
            <w:gridSpan w:val="3"/>
            <w:tcBorders>
              <w:top w:val="single" w:sz="6" w:space="0" w:color="000000"/>
              <w:left w:val="single" w:sz="6" w:space="0" w:color="000000"/>
              <w:bottom w:val="single" w:sz="6" w:space="0" w:color="000000"/>
            </w:tcBorders>
            <w:vAlign w:val="center"/>
          </w:tcPr>
          <w:p w14:paraId="50FFA0B8" w14:textId="77777777" w:rsidR="00EC0B09" w:rsidRDefault="00000000" w:rsidP="00632DFC">
            <w:pPr>
              <w:pStyle w:val="TableParagraph"/>
              <w:spacing w:line="480" w:lineRule="exact"/>
              <w:rPr>
                <w:rFonts w:hint="eastAsia"/>
                <w:lang w:val="en-US"/>
              </w:rPr>
            </w:pPr>
            <w:r>
              <w:rPr>
                <w:rFonts w:hint="eastAsia"/>
                <w:lang w:val="en-US"/>
              </w:rPr>
              <w:t>2025年10月27日-10月28日</w:t>
            </w:r>
          </w:p>
        </w:tc>
      </w:tr>
      <w:tr w:rsidR="00EC0B09" w14:paraId="3905EADC" w14:textId="77777777">
        <w:trPr>
          <w:trHeight w:val="705"/>
          <w:jc w:val="center"/>
        </w:trPr>
        <w:tc>
          <w:tcPr>
            <w:tcW w:w="1162" w:type="pct"/>
            <w:tcBorders>
              <w:top w:val="single" w:sz="6" w:space="0" w:color="000000"/>
              <w:bottom w:val="single" w:sz="6" w:space="0" w:color="000000"/>
              <w:right w:val="single" w:sz="6" w:space="0" w:color="000000"/>
            </w:tcBorders>
            <w:vAlign w:val="center"/>
          </w:tcPr>
          <w:p w14:paraId="218C7E7B" w14:textId="77777777" w:rsidR="00EC0B09" w:rsidRDefault="00000000" w:rsidP="00632DFC">
            <w:pPr>
              <w:pStyle w:val="TableParagraph"/>
              <w:spacing w:line="480" w:lineRule="exact"/>
              <w:ind w:firstLineChars="100" w:firstLine="221"/>
              <w:rPr>
                <w:rFonts w:hint="eastAsia"/>
                <w:b/>
                <w:bCs/>
              </w:rPr>
            </w:pPr>
            <w:r>
              <w:rPr>
                <w:rFonts w:hint="eastAsia"/>
                <w:b/>
                <w:bCs/>
              </w:rPr>
              <w:t>地点</w:t>
            </w:r>
          </w:p>
        </w:tc>
        <w:tc>
          <w:tcPr>
            <w:tcW w:w="3837" w:type="pct"/>
            <w:gridSpan w:val="3"/>
            <w:tcBorders>
              <w:top w:val="single" w:sz="6" w:space="0" w:color="000000"/>
              <w:left w:val="single" w:sz="6" w:space="0" w:color="000000"/>
              <w:bottom w:val="single" w:sz="6" w:space="0" w:color="000000"/>
            </w:tcBorders>
            <w:vAlign w:val="center"/>
          </w:tcPr>
          <w:p w14:paraId="1A0E40D2" w14:textId="77777777" w:rsidR="00EC0B09" w:rsidRDefault="00000000" w:rsidP="00632DFC">
            <w:pPr>
              <w:pStyle w:val="TableParagraph"/>
              <w:spacing w:line="480" w:lineRule="exact"/>
              <w:rPr>
                <w:rFonts w:hint="eastAsia"/>
                <w:lang w:val="en-US"/>
              </w:rPr>
            </w:pPr>
            <w:r>
              <w:rPr>
                <w:rFonts w:hint="eastAsia"/>
                <w:lang w:val="en-US"/>
              </w:rPr>
              <w:t>成都·公司总部会议室</w:t>
            </w:r>
          </w:p>
        </w:tc>
      </w:tr>
      <w:tr w:rsidR="00EC0B09" w14:paraId="7C36F43C" w14:textId="77777777">
        <w:trPr>
          <w:trHeight w:val="832"/>
          <w:jc w:val="center"/>
        </w:trPr>
        <w:tc>
          <w:tcPr>
            <w:tcW w:w="1162" w:type="pct"/>
            <w:tcBorders>
              <w:top w:val="single" w:sz="6" w:space="0" w:color="000000"/>
              <w:bottom w:val="single" w:sz="6" w:space="0" w:color="000000"/>
              <w:right w:val="single" w:sz="6" w:space="0" w:color="000000"/>
            </w:tcBorders>
            <w:vAlign w:val="center"/>
          </w:tcPr>
          <w:p w14:paraId="4FB40B71" w14:textId="77777777" w:rsidR="00EC0B09" w:rsidRDefault="00000000" w:rsidP="00632DFC">
            <w:pPr>
              <w:pStyle w:val="TableParagraph"/>
              <w:spacing w:line="480" w:lineRule="exact"/>
              <w:ind w:firstLineChars="100" w:firstLine="221"/>
              <w:rPr>
                <w:rFonts w:hint="eastAsia"/>
                <w:b/>
                <w:bCs/>
              </w:rPr>
            </w:pPr>
            <w:r>
              <w:rPr>
                <w:rFonts w:hint="eastAsia"/>
                <w:b/>
                <w:bCs/>
                <w:lang w:val="en-US"/>
              </w:rPr>
              <w:t>上市</w:t>
            </w:r>
            <w:r>
              <w:rPr>
                <w:rFonts w:hint="eastAsia"/>
                <w:b/>
                <w:bCs/>
              </w:rPr>
              <w:t>公司</w:t>
            </w:r>
          </w:p>
          <w:p w14:paraId="34BD383F" w14:textId="77777777" w:rsidR="00EC0B09" w:rsidRDefault="00000000" w:rsidP="00632DFC">
            <w:pPr>
              <w:pStyle w:val="TableParagraph"/>
              <w:spacing w:line="480" w:lineRule="exact"/>
              <w:ind w:firstLineChars="100" w:firstLine="221"/>
              <w:rPr>
                <w:rFonts w:hint="eastAsia"/>
                <w:b/>
                <w:bCs/>
              </w:rPr>
            </w:pPr>
            <w:r>
              <w:rPr>
                <w:rFonts w:hint="eastAsia"/>
                <w:b/>
                <w:bCs/>
              </w:rPr>
              <w:t>接待人员姓名</w:t>
            </w:r>
          </w:p>
        </w:tc>
        <w:tc>
          <w:tcPr>
            <w:tcW w:w="3837" w:type="pct"/>
            <w:gridSpan w:val="3"/>
            <w:tcBorders>
              <w:top w:val="single" w:sz="6" w:space="0" w:color="000000"/>
              <w:left w:val="single" w:sz="6" w:space="0" w:color="000000"/>
              <w:bottom w:val="single" w:sz="6" w:space="0" w:color="000000"/>
            </w:tcBorders>
            <w:vAlign w:val="center"/>
          </w:tcPr>
          <w:p w14:paraId="5659D40E" w14:textId="77777777" w:rsidR="00EC0B09" w:rsidRDefault="00000000" w:rsidP="00632DFC">
            <w:pPr>
              <w:pStyle w:val="TableParagraph"/>
              <w:spacing w:line="480" w:lineRule="exact"/>
              <w:ind w:right="227"/>
              <w:rPr>
                <w:rFonts w:hint="eastAsia"/>
                <w:lang w:val="en-US"/>
              </w:rPr>
            </w:pPr>
            <w:r>
              <w:rPr>
                <w:rFonts w:hint="eastAsia"/>
                <w:lang w:val="en-US"/>
              </w:rPr>
              <w:t>战略管理负责人：龚思远</w:t>
            </w:r>
          </w:p>
          <w:p w14:paraId="2EF6647F" w14:textId="77777777" w:rsidR="00EC0B09" w:rsidRDefault="00000000" w:rsidP="00632DFC">
            <w:pPr>
              <w:pStyle w:val="TableParagraph"/>
              <w:spacing w:line="480" w:lineRule="exact"/>
              <w:ind w:right="227"/>
              <w:rPr>
                <w:rFonts w:hint="eastAsia"/>
                <w:lang w:val="en-US"/>
              </w:rPr>
            </w:pPr>
            <w:r>
              <w:rPr>
                <w:rFonts w:hint="eastAsia"/>
              </w:rPr>
              <w:t>董事会秘书：</w:t>
            </w:r>
            <w:r>
              <w:rPr>
                <w:rFonts w:hint="eastAsia"/>
                <w:lang w:val="en-US"/>
              </w:rPr>
              <w:t>张耕</w:t>
            </w:r>
          </w:p>
          <w:p w14:paraId="6C9B3DBC" w14:textId="77777777" w:rsidR="00EC0B09" w:rsidRDefault="00000000" w:rsidP="00632DFC">
            <w:pPr>
              <w:pStyle w:val="TableParagraph"/>
              <w:spacing w:line="480" w:lineRule="exact"/>
              <w:ind w:right="227"/>
              <w:rPr>
                <w:rFonts w:hint="eastAsia"/>
                <w:lang w:val="en-US"/>
              </w:rPr>
            </w:pPr>
            <w:r>
              <w:rPr>
                <w:rFonts w:hint="eastAsia"/>
                <w:lang w:val="en-US"/>
              </w:rPr>
              <w:t>副总经理：徐成聪</w:t>
            </w:r>
          </w:p>
          <w:p w14:paraId="75824CE4" w14:textId="77777777" w:rsidR="00EC0B09" w:rsidRDefault="00000000" w:rsidP="00632DFC">
            <w:pPr>
              <w:pStyle w:val="TableParagraph"/>
              <w:spacing w:line="480" w:lineRule="exact"/>
              <w:ind w:right="227"/>
              <w:rPr>
                <w:rFonts w:hint="eastAsia"/>
                <w:lang w:val="en-US"/>
              </w:rPr>
            </w:pPr>
            <w:r>
              <w:rPr>
                <w:rFonts w:hint="eastAsia"/>
                <w:lang w:val="en-US"/>
              </w:rPr>
              <w:t>财务总监：陈丽青</w:t>
            </w:r>
          </w:p>
          <w:p w14:paraId="721FEB6A" w14:textId="77777777" w:rsidR="00EC0B09" w:rsidRDefault="00000000" w:rsidP="00632DFC">
            <w:pPr>
              <w:pStyle w:val="TableParagraph"/>
              <w:spacing w:line="480" w:lineRule="exact"/>
              <w:ind w:right="227"/>
              <w:rPr>
                <w:rFonts w:hint="eastAsia"/>
                <w:lang w:val="en-US"/>
              </w:rPr>
            </w:pPr>
            <w:r>
              <w:rPr>
                <w:rFonts w:hint="eastAsia"/>
                <w:lang w:val="en-US"/>
              </w:rPr>
              <w:t>证券事务代表：张诗琪</w:t>
            </w:r>
          </w:p>
        </w:tc>
      </w:tr>
      <w:tr w:rsidR="00EC0B09" w14:paraId="0E0E64C6" w14:textId="77777777">
        <w:trPr>
          <w:trHeight w:val="569"/>
          <w:jc w:val="center"/>
        </w:trPr>
        <w:tc>
          <w:tcPr>
            <w:tcW w:w="1162" w:type="pct"/>
            <w:tcBorders>
              <w:top w:val="single" w:sz="6" w:space="0" w:color="000000"/>
              <w:bottom w:val="single" w:sz="6" w:space="0" w:color="000000"/>
              <w:right w:val="single" w:sz="6" w:space="0" w:color="000000"/>
            </w:tcBorders>
            <w:vAlign w:val="center"/>
          </w:tcPr>
          <w:p w14:paraId="54B1331F" w14:textId="77777777" w:rsidR="00EC0B09" w:rsidRDefault="00000000">
            <w:pPr>
              <w:pStyle w:val="TableParagraph"/>
              <w:spacing w:line="480" w:lineRule="exact"/>
              <w:rPr>
                <w:rFonts w:hint="eastAsia"/>
                <w:b/>
                <w:bCs/>
              </w:rPr>
            </w:pPr>
            <w:r>
              <w:rPr>
                <w:rFonts w:hint="eastAsia"/>
                <w:b/>
                <w:bCs/>
                <w:lang w:val="en-US"/>
              </w:rPr>
              <w:lastRenderedPageBreak/>
              <w:t xml:space="preserve">  </w:t>
            </w:r>
            <w:r>
              <w:rPr>
                <w:rFonts w:hint="eastAsia"/>
                <w:b/>
                <w:bCs/>
              </w:rPr>
              <w:t>投资者关系活动</w:t>
            </w:r>
          </w:p>
          <w:p w14:paraId="47F32A3C" w14:textId="77777777" w:rsidR="00EC0B09" w:rsidRDefault="00000000">
            <w:pPr>
              <w:pStyle w:val="TableParagraph"/>
              <w:spacing w:line="480" w:lineRule="exact"/>
              <w:ind w:firstLineChars="100" w:firstLine="221"/>
              <w:rPr>
                <w:rFonts w:hint="eastAsia"/>
                <w:b/>
                <w:bCs/>
              </w:rPr>
            </w:pPr>
            <w:r>
              <w:rPr>
                <w:rFonts w:hint="eastAsia"/>
                <w:b/>
                <w:bCs/>
              </w:rPr>
              <w:t>主要内容介绍</w:t>
            </w:r>
          </w:p>
        </w:tc>
        <w:tc>
          <w:tcPr>
            <w:tcW w:w="3837" w:type="pct"/>
            <w:gridSpan w:val="3"/>
            <w:tcBorders>
              <w:top w:val="single" w:sz="6" w:space="0" w:color="000000"/>
              <w:left w:val="single" w:sz="6" w:space="0" w:color="000000"/>
              <w:bottom w:val="single" w:sz="6" w:space="0" w:color="000000"/>
            </w:tcBorders>
            <w:vAlign w:val="center"/>
          </w:tcPr>
          <w:p w14:paraId="48806FA5" w14:textId="77777777" w:rsidR="00EC0B09" w:rsidRDefault="00000000" w:rsidP="00632DFC">
            <w:pPr>
              <w:autoSpaceDE/>
              <w:autoSpaceDN/>
              <w:spacing w:line="480" w:lineRule="exact"/>
              <w:jc w:val="both"/>
              <w:rPr>
                <w:rFonts w:hint="eastAsia"/>
                <w:b/>
                <w:bCs/>
                <w:lang w:val="en-US"/>
              </w:rPr>
            </w:pPr>
            <w:bookmarkStart w:id="0" w:name="7182-1592134663918"/>
            <w:bookmarkEnd w:id="0"/>
            <w:r>
              <w:rPr>
                <w:rFonts w:hint="eastAsia"/>
                <w:b/>
                <w:bCs/>
                <w:lang w:val="en-US"/>
              </w:rPr>
              <w:t>会议交流主要内容</w:t>
            </w:r>
          </w:p>
          <w:p w14:paraId="1ED50A96" w14:textId="77777777" w:rsidR="00EC0B09" w:rsidRDefault="00000000" w:rsidP="00632DFC">
            <w:pPr>
              <w:autoSpaceDE/>
              <w:autoSpaceDN/>
              <w:spacing w:line="480" w:lineRule="exact"/>
              <w:jc w:val="both"/>
              <w:rPr>
                <w:rFonts w:hint="eastAsia"/>
                <w:b/>
                <w:bCs/>
                <w:lang w:val="en-US"/>
              </w:rPr>
            </w:pPr>
            <w:r>
              <w:rPr>
                <w:rFonts w:hint="eastAsia"/>
                <w:b/>
                <w:bCs/>
                <w:lang w:val="en-US"/>
              </w:rPr>
              <w:t>一、公司业绩回顾与发展展望</w:t>
            </w:r>
          </w:p>
          <w:p w14:paraId="7E7CD611"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1 、业绩回顾</w:t>
            </w:r>
          </w:p>
          <w:p w14:paraId="5C2B54DE"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2025年1至9月，公司营业收入56.39亿元，同比增长42.57%，实现归母净利润1.072亿元；其中三季度营业收入19.22亿元，同比增长11.57%，实现归母净利润-0.7402亿元。</w:t>
            </w:r>
          </w:p>
          <w:p w14:paraId="67973894"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2025年1至9月，公司出栏生猪293.42万头，其中三季度出栏生猪102.47万头。</w:t>
            </w:r>
          </w:p>
          <w:p w14:paraId="55C01142"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2 、发展展望</w:t>
            </w:r>
          </w:p>
          <w:p w14:paraId="62E2153E"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公司持续聚焦生猪养殖业务主航道，在安全经营的同时保持高质量发展，在持续提高养殖效率和降低养殖成本基础上，整合优质产能资源和提高产能利用率，实现公司提质增效和可持续发展，推动实现公司年度经营计划目标。</w:t>
            </w:r>
          </w:p>
          <w:p w14:paraId="7093D3C1" w14:textId="77777777" w:rsidR="00EC0B09" w:rsidRDefault="00EC0B09" w:rsidP="00632DFC">
            <w:pPr>
              <w:autoSpaceDE/>
              <w:autoSpaceDN/>
              <w:spacing w:line="480" w:lineRule="exact"/>
              <w:ind w:firstLineChars="200" w:firstLine="440"/>
              <w:jc w:val="both"/>
              <w:rPr>
                <w:rFonts w:hint="eastAsia"/>
                <w:lang w:val="en-US"/>
              </w:rPr>
            </w:pPr>
          </w:p>
          <w:p w14:paraId="212F3B93" w14:textId="77777777" w:rsidR="00EC0B09" w:rsidRDefault="00000000" w:rsidP="00632DFC">
            <w:pPr>
              <w:autoSpaceDE/>
              <w:autoSpaceDN/>
              <w:spacing w:line="480" w:lineRule="exact"/>
              <w:jc w:val="both"/>
              <w:rPr>
                <w:rFonts w:hint="eastAsia"/>
                <w:b/>
                <w:bCs/>
                <w:lang w:val="en-US"/>
              </w:rPr>
            </w:pPr>
            <w:r>
              <w:rPr>
                <w:rFonts w:hint="eastAsia"/>
                <w:b/>
                <w:bCs/>
                <w:lang w:val="en-US"/>
              </w:rPr>
              <w:t>二、公司生猪养殖生产指标情况？</w:t>
            </w:r>
          </w:p>
          <w:p w14:paraId="3189EB9C"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2025年1至9月，公司生猪养殖业务的PSY约为29头、料肉比约为2.57。</w:t>
            </w:r>
          </w:p>
          <w:p w14:paraId="5DFAFA49" w14:textId="77777777" w:rsidR="00EC0B09" w:rsidRDefault="00EC0B09" w:rsidP="00632DFC">
            <w:pPr>
              <w:autoSpaceDE/>
              <w:autoSpaceDN/>
              <w:spacing w:line="480" w:lineRule="exact"/>
              <w:ind w:firstLineChars="200" w:firstLine="440"/>
              <w:jc w:val="both"/>
              <w:rPr>
                <w:rFonts w:hint="eastAsia"/>
                <w:lang w:val="en-US"/>
              </w:rPr>
            </w:pPr>
          </w:p>
          <w:p w14:paraId="69DDB29E" w14:textId="6B861583" w:rsidR="00EC0B09" w:rsidRDefault="00000000" w:rsidP="00632DFC">
            <w:pPr>
              <w:autoSpaceDE/>
              <w:autoSpaceDN/>
              <w:spacing w:line="480" w:lineRule="exact"/>
              <w:jc w:val="both"/>
              <w:rPr>
                <w:rFonts w:hint="eastAsia"/>
                <w:b/>
                <w:bCs/>
                <w:lang w:val="en-US"/>
              </w:rPr>
            </w:pPr>
            <w:r>
              <w:rPr>
                <w:rFonts w:hint="eastAsia"/>
                <w:b/>
                <w:bCs/>
                <w:lang w:val="en-US"/>
              </w:rPr>
              <w:t>三、公司生猪</w:t>
            </w:r>
            <w:r w:rsidR="00632DFC">
              <w:rPr>
                <w:rFonts w:hint="eastAsia"/>
                <w:b/>
                <w:bCs/>
                <w:lang w:val="en-US"/>
              </w:rPr>
              <w:t>养殖</w:t>
            </w:r>
            <w:r>
              <w:rPr>
                <w:rFonts w:hint="eastAsia"/>
                <w:b/>
                <w:bCs/>
                <w:lang w:val="en-US"/>
              </w:rPr>
              <w:t>产能经营情况？</w:t>
            </w:r>
          </w:p>
          <w:p w14:paraId="489A7870"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公司高度重视生猪产业高质量发展并积极响应国家生猪产能调控政策号召，通过先进技术研发推广、数智化升级改造等多个维度，提高养殖效率和经营质量，推动实现高质量发展。</w:t>
            </w:r>
          </w:p>
          <w:p w14:paraId="139E62B7" w14:textId="77777777" w:rsidR="00EC0B09" w:rsidRDefault="00EC0B09" w:rsidP="00632DFC">
            <w:pPr>
              <w:autoSpaceDE/>
              <w:autoSpaceDN/>
              <w:spacing w:line="480" w:lineRule="exact"/>
              <w:ind w:firstLineChars="200" w:firstLine="440"/>
              <w:jc w:val="both"/>
              <w:rPr>
                <w:rFonts w:hint="eastAsia"/>
                <w:lang w:val="en-US"/>
              </w:rPr>
            </w:pPr>
          </w:p>
          <w:p w14:paraId="4933FE0D" w14:textId="37265789" w:rsidR="00EC0B09" w:rsidRDefault="00000000" w:rsidP="00632DFC">
            <w:pPr>
              <w:autoSpaceDE/>
              <w:autoSpaceDN/>
              <w:spacing w:line="480" w:lineRule="exact"/>
              <w:jc w:val="both"/>
              <w:rPr>
                <w:rFonts w:hint="eastAsia"/>
                <w:b/>
                <w:bCs/>
                <w:lang w:val="en-US"/>
              </w:rPr>
            </w:pPr>
            <w:r>
              <w:rPr>
                <w:rFonts w:hint="eastAsia"/>
                <w:b/>
                <w:bCs/>
                <w:lang w:val="en-US"/>
              </w:rPr>
              <w:t>四、公司市值管理工作</w:t>
            </w:r>
            <w:r w:rsidR="00632DFC">
              <w:rPr>
                <w:rFonts w:hint="eastAsia"/>
                <w:b/>
                <w:bCs/>
                <w:lang w:val="en-US"/>
              </w:rPr>
              <w:t>相关</w:t>
            </w:r>
            <w:r>
              <w:rPr>
                <w:rFonts w:hint="eastAsia"/>
                <w:b/>
                <w:bCs/>
                <w:lang w:val="en-US"/>
              </w:rPr>
              <w:t>情况？</w:t>
            </w:r>
          </w:p>
          <w:p w14:paraId="137978FB"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公司持续聚焦生猪养殖业务主航道，在安全经营的同时保持高质量发展，依法依规运用“现金分红、股份回购、投资者关系管理”等方式提升公司投资价值。</w:t>
            </w:r>
          </w:p>
          <w:p w14:paraId="4BB5B000"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公司为加强市值管理工作，进一步规范公司市值管理行为，切实维护公司、投资者及其他利益相关者的合法权益，公司董事会于2025年7月制定了《市值管理制度》。在投资者关系管理方面，公司常态化召开“业绩说明会、现金分红说明会”等投资者说明会，公司董事长、董事会秘书组织公司经营管理层向投资者介绍情况、回答问题并听取意见建议。</w:t>
            </w:r>
          </w:p>
          <w:p w14:paraId="43E050F4"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lastRenderedPageBreak/>
              <w:t>公司为坚定发展和持续深耕生猪养殖行业，促进企业长期内在发展价值的充分体现，提振股东投资信心，于2025年4月24日披露了《关于以集中竞价方式回购股份的方案》，回购股份期限为自公司董事会审议通过本次回购股份方案之日起12个月内，回购股份资金总额不低于人民币5,000万元（含）且不超过人民币10,000万元（含）。2025年7月28日，公司在回购期限内完成本次回购，本次已实际回购公司股份4,773,900股，占公司总股本的0.94%，使用资金总额99,988,226.04 元（不含交易佣金等交易费用）。</w:t>
            </w:r>
          </w:p>
          <w:p w14:paraId="46F29831" w14:textId="77777777" w:rsidR="00EC0B09" w:rsidRDefault="00000000" w:rsidP="00632DFC">
            <w:pPr>
              <w:autoSpaceDE/>
              <w:autoSpaceDN/>
              <w:spacing w:line="480" w:lineRule="exact"/>
              <w:ind w:firstLineChars="200" w:firstLine="440"/>
              <w:jc w:val="both"/>
              <w:rPr>
                <w:rFonts w:hint="eastAsia"/>
                <w:lang w:val="en-US"/>
              </w:rPr>
            </w:pPr>
            <w:r>
              <w:rPr>
                <w:rFonts w:hint="eastAsia"/>
                <w:lang w:val="en-US"/>
              </w:rPr>
              <w:t>公司控股股东四川巨星企业集团有限公司（以下简称“巨星集团”）基于对公司发展前景的坚定信心以及对公司长期投资价值的认可，拟自2024年8月13 日起12个月内，通过上海证券交易所交易系统允许的方式增持公司无限售流通 A股股份，不低于人民币5,000万元且增持完成后的合计持股比例不超过公司总股本的 30%（以下简称“本次增持计划”）。2025年8月7日，本次增持计划实施完毕，巨星集团通过上海证券交易所以集中竞价方式累计增持公司无限售流通A股股份2,791,408 股，占公司总股本的比例为0.547%，累计增持金额为人民币53,089,336.96元（不含交易费用）。</w:t>
            </w:r>
          </w:p>
        </w:tc>
      </w:tr>
      <w:tr w:rsidR="00EC0B09" w14:paraId="607A0643" w14:textId="77777777">
        <w:trPr>
          <w:trHeight w:val="794"/>
          <w:jc w:val="center"/>
        </w:trPr>
        <w:tc>
          <w:tcPr>
            <w:tcW w:w="1162" w:type="pct"/>
            <w:tcBorders>
              <w:top w:val="single" w:sz="6" w:space="0" w:color="000000"/>
              <w:bottom w:val="single" w:sz="6" w:space="0" w:color="000000"/>
              <w:right w:val="single" w:sz="6" w:space="0" w:color="000000"/>
            </w:tcBorders>
            <w:vAlign w:val="center"/>
          </w:tcPr>
          <w:p w14:paraId="22603D08" w14:textId="77777777" w:rsidR="00EC0B09" w:rsidRDefault="00000000">
            <w:pPr>
              <w:pStyle w:val="TableParagraph"/>
              <w:spacing w:line="480" w:lineRule="exact"/>
              <w:ind w:firstLineChars="100" w:firstLine="221"/>
              <w:rPr>
                <w:rFonts w:hint="eastAsia"/>
                <w:b/>
                <w:bCs/>
              </w:rPr>
            </w:pPr>
            <w:r>
              <w:rPr>
                <w:rFonts w:hint="eastAsia"/>
                <w:b/>
                <w:bCs/>
              </w:rPr>
              <w:lastRenderedPageBreak/>
              <w:t>附件清单（如有）</w:t>
            </w:r>
          </w:p>
        </w:tc>
        <w:tc>
          <w:tcPr>
            <w:tcW w:w="3837" w:type="pct"/>
            <w:gridSpan w:val="3"/>
            <w:tcBorders>
              <w:top w:val="single" w:sz="6" w:space="0" w:color="000000"/>
              <w:left w:val="single" w:sz="6" w:space="0" w:color="000000"/>
              <w:bottom w:val="single" w:sz="6" w:space="0" w:color="000000"/>
            </w:tcBorders>
            <w:vAlign w:val="center"/>
          </w:tcPr>
          <w:p w14:paraId="2D417945" w14:textId="77777777" w:rsidR="00EC0B09" w:rsidRDefault="00000000">
            <w:pPr>
              <w:pStyle w:val="TableParagraph"/>
              <w:spacing w:line="480" w:lineRule="exact"/>
              <w:rPr>
                <w:rFonts w:hint="eastAsia"/>
                <w:lang w:val="en-US"/>
              </w:rPr>
            </w:pPr>
            <w:r>
              <w:rPr>
                <w:rFonts w:hint="eastAsia"/>
              </w:rPr>
              <w:t>无</w:t>
            </w:r>
          </w:p>
        </w:tc>
      </w:tr>
      <w:tr w:rsidR="00EC0B09" w14:paraId="4572C895" w14:textId="77777777">
        <w:trPr>
          <w:trHeight w:val="749"/>
          <w:jc w:val="center"/>
        </w:trPr>
        <w:tc>
          <w:tcPr>
            <w:tcW w:w="1162" w:type="pct"/>
            <w:tcBorders>
              <w:top w:val="single" w:sz="6" w:space="0" w:color="000000"/>
              <w:bottom w:val="single" w:sz="6" w:space="0" w:color="000000"/>
              <w:right w:val="single" w:sz="6" w:space="0" w:color="000000"/>
            </w:tcBorders>
            <w:vAlign w:val="center"/>
          </w:tcPr>
          <w:p w14:paraId="7C202EBB" w14:textId="77777777" w:rsidR="00EC0B09" w:rsidRDefault="00000000">
            <w:pPr>
              <w:pStyle w:val="TableParagraph"/>
              <w:spacing w:line="480" w:lineRule="exact"/>
              <w:ind w:firstLineChars="100" w:firstLine="221"/>
              <w:rPr>
                <w:rFonts w:hint="eastAsia"/>
                <w:b/>
                <w:bCs/>
              </w:rPr>
            </w:pPr>
            <w:r>
              <w:rPr>
                <w:rFonts w:hint="eastAsia"/>
                <w:b/>
                <w:bCs/>
                <w:lang w:val="en-US"/>
              </w:rPr>
              <w:t>日期</w:t>
            </w:r>
          </w:p>
        </w:tc>
        <w:tc>
          <w:tcPr>
            <w:tcW w:w="3837" w:type="pct"/>
            <w:gridSpan w:val="3"/>
            <w:tcBorders>
              <w:top w:val="single" w:sz="6" w:space="0" w:color="000000"/>
              <w:left w:val="single" w:sz="6" w:space="0" w:color="000000"/>
              <w:bottom w:val="single" w:sz="6" w:space="0" w:color="000000"/>
            </w:tcBorders>
            <w:vAlign w:val="center"/>
          </w:tcPr>
          <w:p w14:paraId="6C252084" w14:textId="60694FDE" w:rsidR="00EC0B09" w:rsidRDefault="00632DFC">
            <w:pPr>
              <w:pStyle w:val="TableParagraph"/>
              <w:spacing w:line="480" w:lineRule="exact"/>
              <w:rPr>
                <w:rFonts w:hint="eastAsia"/>
                <w:lang w:val="en-US"/>
              </w:rPr>
            </w:pPr>
            <w:r>
              <w:rPr>
                <w:rFonts w:hint="eastAsia"/>
                <w:lang w:val="en-US"/>
              </w:rPr>
              <w:t>2025年10月27日-10月28日</w:t>
            </w:r>
          </w:p>
        </w:tc>
      </w:tr>
      <w:tr w:rsidR="00EC0B09" w14:paraId="5D8B6232" w14:textId="77777777">
        <w:trPr>
          <w:trHeight w:val="749"/>
          <w:jc w:val="center"/>
        </w:trPr>
        <w:tc>
          <w:tcPr>
            <w:tcW w:w="1162" w:type="pct"/>
            <w:tcBorders>
              <w:top w:val="single" w:sz="6" w:space="0" w:color="000000"/>
              <w:bottom w:val="single" w:sz="6" w:space="0" w:color="000000"/>
              <w:right w:val="single" w:sz="6" w:space="0" w:color="000000"/>
            </w:tcBorders>
            <w:vAlign w:val="center"/>
          </w:tcPr>
          <w:p w14:paraId="6880AED7" w14:textId="77777777" w:rsidR="00EC0B09" w:rsidRDefault="00000000">
            <w:pPr>
              <w:pStyle w:val="TableParagraph"/>
              <w:spacing w:line="480" w:lineRule="exact"/>
              <w:ind w:firstLineChars="100" w:firstLine="221"/>
              <w:rPr>
                <w:rFonts w:hint="eastAsia"/>
                <w:b/>
                <w:bCs/>
                <w:lang w:val="en-US"/>
              </w:rPr>
            </w:pPr>
            <w:r>
              <w:rPr>
                <w:rFonts w:hint="eastAsia"/>
                <w:b/>
                <w:bCs/>
                <w:lang w:val="en-US"/>
              </w:rPr>
              <w:t>重要提示</w:t>
            </w:r>
          </w:p>
        </w:tc>
        <w:tc>
          <w:tcPr>
            <w:tcW w:w="3837" w:type="pct"/>
            <w:gridSpan w:val="3"/>
            <w:tcBorders>
              <w:top w:val="single" w:sz="6" w:space="0" w:color="000000"/>
              <w:left w:val="single" w:sz="6" w:space="0" w:color="000000"/>
              <w:bottom w:val="single" w:sz="6" w:space="0" w:color="000000"/>
            </w:tcBorders>
            <w:vAlign w:val="center"/>
          </w:tcPr>
          <w:p w14:paraId="6BB85D86" w14:textId="77777777" w:rsidR="00EC0B09" w:rsidRDefault="00000000" w:rsidP="00632DFC">
            <w:pPr>
              <w:pStyle w:val="TableParagraph"/>
              <w:spacing w:line="480" w:lineRule="exact"/>
              <w:jc w:val="both"/>
              <w:rPr>
                <w:rFonts w:hint="eastAsia"/>
                <w:b/>
                <w:bCs/>
                <w:lang w:val="en-US"/>
              </w:rPr>
            </w:pPr>
            <w:r>
              <w:rPr>
                <w:rFonts w:hint="eastAsia"/>
                <w:b/>
                <w:bCs/>
                <w:lang w:val="en-US"/>
              </w:rPr>
              <w:t>公司郑重提醒如下：</w:t>
            </w:r>
          </w:p>
          <w:p w14:paraId="412BE317" w14:textId="77777777" w:rsidR="00EC0B09" w:rsidRDefault="00000000" w:rsidP="00632DFC">
            <w:pPr>
              <w:pStyle w:val="TableParagraph"/>
              <w:spacing w:line="480" w:lineRule="exact"/>
              <w:ind w:firstLineChars="200" w:firstLine="442"/>
              <w:jc w:val="both"/>
              <w:rPr>
                <w:rFonts w:hint="eastAsia"/>
                <w:b/>
                <w:bCs/>
                <w:lang w:val="en-US"/>
              </w:rPr>
            </w:pPr>
            <w:r>
              <w:rPr>
                <w:rFonts w:hint="eastAsia"/>
                <w:b/>
                <w:bCs/>
                <w:lang w:val="en-US"/>
              </w:rPr>
              <w:t>参与单位和人员由组织机构整理提供，鉴于参与单位和人员的数量较多，公司无法完全保证参与单位和人员的完整性、准确性，敬请投资者特别注意。</w:t>
            </w:r>
          </w:p>
          <w:p w14:paraId="62701288" w14:textId="77777777" w:rsidR="00EC0B09" w:rsidRDefault="00000000" w:rsidP="00632DFC">
            <w:pPr>
              <w:pStyle w:val="TableParagraph"/>
              <w:spacing w:line="480" w:lineRule="exact"/>
              <w:ind w:firstLineChars="200" w:firstLine="442"/>
              <w:jc w:val="both"/>
              <w:rPr>
                <w:rFonts w:hint="eastAsia"/>
                <w:b/>
                <w:bCs/>
                <w:lang w:val="en-US"/>
              </w:rPr>
            </w:pPr>
            <w:r>
              <w:rPr>
                <w:rFonts w:hint="eastAsia"/>
                <w:b/>
                <w:bCs/>
                <w:lang w:val="en-US"/>
              </w:rPr>
              <w:t>以上内容如涉及行业预测研判、公司发展战略、公司经营计划等相关内容，均不构成公司的实质性承诺和保证，敬请广大投资者审慎决策，理性投资，注意风险。</w:t>
            </w:r>
          </w:p>
        </w:tc>
      </w:tr>
    </w:tbl>
    <w:p w14:paraId="2C3A3B09" w14:textId="77777777" w:rsidR="00EC0B09" w:rsidRDefault="00EC0B09">
      <w:pPr>
        <w:spacing w:line="480" w:lineRule="exact"/>
        <w:rPr>
          <w:rFonts w:hint="eastAsia"/>
        </w:rPr>
      </w:pPr>
    </w:p>
    <w:sectPr w:rsidR="00EC0B0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32DFC"/>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396E1E"/>
    <w:rsid w:val="015F5965"/>
    <w:rsid w:val="017B7436"/>
    <w:rsid w:val="01A52705"/>
    <w:rsid w:val="01B464A4"/>
    <w:rsid w:val="020E02AA"/>
    <w:rsid w:val="022C24DE"/>
    <w:rsid w:val="02346ABB"/>
    <w:rsid w:val="024C18BD"/>
    <w:rsid w:val="02910C29"/>
    <w:rsid w:val="02C75822"/>
    <w:rsid w:val="02F92D08"/>
    <w:rsid w:val="03023B12"/>
    <w:rsid w:val="033E071B"/>
    <w:rsid w:val="03433F84"/>
    <w:rsid w:val="034F46D6"/>
    <w:rsid w:val="03667C72"/>
    <w:rsid w:val="0405748B"/>
    <w:rsid w:val="04073203"/>
    <w:rsid w:val="04365896"/>
    <w:rsid w:val="045035FE"/>
    <w:rsid w:val="045C354F"/>
    <w:rsid w:val="048E6375"/>
    <w:rsid w:val="04A76B24"/>
    <w:rsid w:val="04F012CE"/>
    <w:rsid w:val="050E4DFB"/>
    <w:rsid w:val="054D733B"/>
    <w:rsid w:val="055D6392"/>
    <w:rsid w:val="05777F14"/>
    <w:rsid w:val="059005EC"/>
    <w:rsid w:val="05B169EF"/>
    <w:rsid w:val="05C80770"/>
    <w:rsid w:val="064A7E58"/>
    <w:rsid w:val="06606C84"/>
    <w:rsid w:val="06652463"/>
    <w:rsid w:val="06930D7E"/>
    <w:rsid w:val="069517C3"/>
    <w:rsid w:val="06A66D03"/>
    <w:rsid w:val="06C87A51"/>
    <w:rsid w:val="070954E4"/>
    <w:rsid w:val="073D0CEA"/>
    <w:rsid w:val="076444C8"/>
    <w:rsid w:val="0790350F"/>
    <w:rsid w:val="07953C33"/>
    <w:rsid w:val="0797489E"/>
    <w:rsid w:val="07DB082D"/>
    <w:rsid w:val="07FE66CB"/>
    <w:rsid w:val="080A1514"/>
    <w:rsid w:val="081C23EE"/>
    <w:rsid w:val="086A722B"/>
    <w:rsid w:val="0874698D"/>
    <w:rsid w:val="08D13DE0"/>
    <w:rsid w:val="095523FA"/>
    <w:rsid w:val="09D02FE3"/>
    <w:rsid w:val="0A3C34DB"/>
    <w:rsid w:val="0A6842D0"/>
    <w:rsid w:val="0A7E1D45"/>
    <w:rsid w:val="0AB1211B"/>
    <w:rsid w:val="0AD019C3"/>
    <w:rsid w:val="0B143E90"/>
    <w:rsid w:val="0B372620"/>
    <w:rsid w:val="0B3F3282"/>
    <w:rsid w:val="0BCB2D68"/>
    <w:rsid w:val="0BCB667F"/>
    <w:rsid w:val="0C2C33CB"/>
    <w:rsid w:val="0C3721AC"/>
    <w:rsid w:val="0C48085D"/>
    <w:rsid w:val="0C54227B"/>
    <w:rsid w:val="0C6D1CE1"/>
    <w:rsid w:val="0C7358DA"/>
    <w:rsid w:val="0C767F6B"/>
    <w:rsid w:val="0C7B653C"/>
    <w:rsid w:val="0C8D626F"/>
    <w:rsid w:val="0CC7352F"/>
    <w:rsid w:val="0D0D37A8"/>
    <w:rsid w:val="0D295F98"/>
    <w:rsid w:val="0D9553DC"/>
    <w:rsid w:val="0D9F625A"/>
    <w:rsid w:val="0E4F36CC"/>
    <w:rsid w:val="0EB16245"/>
    <w:rsid w:val="0EC3241C"/>
    <w:rsid w:val="0EC95C85"/>
    <w:rsid w:val="0EDC703A"/>
    <w:rsid w:val="0EF44384"/>
    <w:rsid w:val="0F0A1DF9"/>
    <w:rsid w:val="0F2E7C9C"/>
    <w:rsid w:val="0F3A0791"/>
    <w:rsid w:val="0F451083"/>
    <w:rsid w:val="0F56503F"/>
    <w:rsid w:val="0F6E05DA"/>
    <w:rsid w:val="0F953184"/>
    <w:rsid w:val="0FC621C4"/>
    <w:rsid w:val="0FC65D20"/>
    <w:rsid w:val="0FF01911"/>
    <w:rsid w:val="0FFF1232"/>
    <w:rsid w:val="10003D03"/>
    <w:rsid w:val="10305890"/>
    <w:rsid w:val="105E064F"/>
    <w:rsid w:val="108005C5"/>
    <w:rsid w:val="10817E99"/>
    <w:rsid w:val="10B262A5"/>
    <w:rsid w:val="10B4026F"/>
    <w:rsid w:val="10D47958"/>
    <w:rsid w:val="10D73F5D"/>
    <w:rsid w:val="11034D52"/>
    <w:rsid w:val="11365128"/>
    <w:rsid w:val="11496C09"/>
    <w:rsid w:val="114A2981"/>
    <w:rsid w:val="1158509E"/>
    <w:rsid w:val="115E01DA"/>
    <w:rsid w:val="118E0AC0"/>
    <w:rsid w:val="11A42091"/>
    <w:rsid w:val="11BF511D"/>
    <w:rsid w:val="125E5E40"/>
    <w:rsid w:val="12D509AD"/>
    <w:rsid w:val="1300779B"/>
    <w:rsid w:val="134753CA"/>
    <w:rsid w:val="13DD5D2E"/>
    <w:rsid w:val="13E0137B"/>
    <w:rsid w:val="14074B59"/>
    <w:rsid w:val="14101C60"/>
    <w:rsid w:val="148F7029"/>
    <w:rsid w:val="14AE3227"/>
    <w:rsid w:val="14C747AB"/>
    <w:rsid w:val="14F74BCE"/>
    <w:rsid w:val="15001CD4"/>
    <w:rsid w:val="153E0A4F"/>
    <w:rsid w:val="161E0045"/>
    <w:rsid w:val="16210154"/>
    <w:rsid w:val="162437A1"/>
    <w:rsid w:val="16810BF3"/>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69193F"/>
    <w:rsid w:val="18824AD6"/>
    <w:rsid w:val="188C387F"/>
    <w:rsid w:val="18B62EA4"/>
    <w:rsid w:val="18D15DBA"/>
    <w:rsid w:val="18FF22A3"/>
    <w:rsid w:val="19273169"/>
    <w:rsid w:val="19466E27"/>
    <w:rsid w:val="196D545F"/>
    <w:rsid w:val="197C1B46"/>
    <w:rsid w:val="199450E1"/>
    <w:rsid w:val="19B65058"/>
    <w:rsid w:val="1A0318E8"/>
    <w:rsid w:val="1A3146DE"/>
    <w:rsid w:val="1A566023"/>
    <w:rsid w:val="1AC11F06"/>
    <w:rsid w:val="1ACE4623"/>
    <w:rsid w:val="1B43291B"/>
    <w:rsid w:val="1B46065D"/>
    <w:rsid w:val="1B5667A8"/>
    <w:rsid w:val="1B796AD5"/>
    <w:rsid w:val="1BCA303C"/>
    <w:rsid w:val="1BD23C9F"/>
    <w:rsid w:val="1C080DA8"/>
    <w:rsid w:val="1C0A3439"/>
    <w:rsid w:val="1CA1729E"/>
    <w:rsid w:val="1CB82E95"/>
    <w:rsid w:val="1D2422D8"/>
    <w:rsid w:val="1D295B40"/>
    <w:rsid w:val="1D3139D9"/>
    <w:rsid w:val="1D9751A0"/>
    <w:rsid w:val="1DF86605"/>
    <w:rsid w:val="1E214681"/>
    <w:rsid w:val="1E2E78B2"/>
    <w:rsid w:val="1E470974"/>
    <w:rsid w:val="1F520C33"/>
    <w:rsid w:val="1F7D440A"/>
    <w:rsid w:val="1FC436EF"/>
    <w:rsid w:val="201C373B"/>
    <w:rsid w:val="20360D2B"/>
    <w:rsid w:val="204A474C"/>
    <w:rsid w:val="20692C6F"/>
    <w:rsid w:val="209634ED"/>
    <w:rsid w:val="20D12777"/>
    <w:rsid w:val="21076199"/>
    <w:rsid w:val="21260D15"/>
    <w:rsid w:val="219C0FD7"/>
    <w:rsid w:val="21AE3541"/>
    <w:rsid w:val="222608A0"/>
    <w:rsid w:val="222A213F"/>
    <w:rsid w:val="22433200"/>
    <w:rsid w:val="224A27E1"/>
    <w:rsid w:val="225278E7"/>
    <w:rsid w:val="22850ED9"/>
    <w:rsid w:val="228641B0"/>
    <w:rsid w:val="22941CAE"/>
    <w:rsid w:val="22BD3143"/>
    <w:rsid w:val="22EA7B20"/>
    <w:rsid w:val="233314C7"/>
    <w:rsid w:val="2351194D"/>
    <w:rsid w:val="2369313B"/>
    <w:rsid w:val="23AE6D9F"/>
    <w:rsid w:val="23C325CA"/>
    <w:rsid w:val="23C860B3"/>
    <w:rsid w:val="24155071"/>
    <w:rsid w:val="241C01AD"/>
    <w:rsid w:val="24340AE1"/>
    <w:rsid w:val="243F3E9B"/>
    <w:rsid w:val="246649A5"/>
    <w:rsid w:val="246C2EE2"/>
    <w:rsid w:val="247D50F0"/>
    <w:rsid w:val="24945F95"/>
    <w:rsid w:val="249E6E14"/>
    <w:rsid w:val="24A51F50"/>
    <w:rsid w:val="24D64800"/>
    <w:rsid w:val="24F609FE"/>
    <w:rsid w:val="24FD7FDE"/>
    <w:rsid w:val="25181F7F"/>
    <w:rsid w:val="25584F97"/>
    <w:rsid w:val="258C4EBE"/>
    <w:rsid w:val="25D36F91"/>
    <w:rsid w:val="25F5515A"/>
    <w:rsid w:val="262670C1"/>
    <w:rsid w:val="265256F1"/>
    <w:rsid w:val="267B565F"/>
    <w:rsid w:val="26BE554B"/>
    <w:rsid w:val="26D134D1"/>
    <w:rsid w:val="26EB3E67"/>
    <w:rsid w:val="26ED4885"/>
    <w:rsid w:val="26F45411"/>
    <w:rsid w:val="273121C1"/>
    <w:rsid w:val="27473793"/>
    <w:rsid w:val="274E68CF"/>
    <w:rsid w:val="275A389E"/>
    <w:rsid w:val="27677991"/>
    <w:rsid w:val="278B7B24"/>
    <w:rsid w:val="279F35CF"/>
    <w:rsid w:val="283E6C8E"/>
    <w:rsid w:val="287E4F92"/>
    <w:rsid w:val="292024ED"/>
    <w:rsid w:val="292F425E"/>
    <w:rsid w:val="294E0E09"/>
    <w:rsid w:val="298A6873"/>
    <w:rsid w:val="29F00112"/>
    <w:rsid w:val="2A043BBD"/>
    <w:rsid w:val="2A24600D"/>
    <w:rsid w:val="2A732C8B"/>
    <w:rsid w:val="2ADC2444"/>
    <w:rsid w:val="2AE00186"/>
    <w:rsid w:val="2B027480"/>
    <w:rsid w:val="2B3B360F"/>
    <w:rsid w:val="2B517236"/>
    <w:rsid w:val="2B9E76FA"/>
    <w:rsid w:val="2BCE6231"/>
    <w:rsid w:val="2BD001FB"/>
    <w:rsid w:val="2C581F9E"/>
    <w:rsid w:val="2C7548FE"/>
    <w:rsid w:val="2C8608B9"/>
    <w:rsid w:val="2C8B71C7"/>
    <w:rsid w:val="2C8C39F6"/>
    <w:rsid w:val="2CA945A8"/>
    <w:rsid w:val="2CB27900"/>
    <w:rsid w:val="2CC97E56"/>
    <w:rsid w:val="2CE30BDD"/>
    <w:rsid w:val="2D3C366E"/>
    <w:rsid w:val="2D574004"/>
    <w:rsid w:val="2DB63420"/>
    <w:rsid w:val="2DB75880"/>
    <w:rsid w:val="2DCD42C6"/>
    <w:rsid w:val="2DF13201"/>
    <w:rsid w:val="2DF87595"/>
    <w:rsid w:val="2E255EB0"/>
    <w:rsid w:val="2E7E623A"/>
    <w:rsid w:val="2E89643F"/>
    <w:rsid w:val="2EE14754"/>
    <w:rsid w:val="2EF22236"/>
    <w:rsid w:val="2F2B1BEC"/>
    <w:rsid w:val="2F884949"/>
    <w:rsid w:val="2FC736C3"/>
    <w:rsid w:val="2FF53BE5"/>
    <w:rsid w:val="30032221"/>
    <w:rsid w:val="30332C85"/>
    <w:rsid w:val="3046098A"/>
    <w:rsid w:val="3086532C"/>
    <w:rsid w:val="30AE4883"/>
    <w:rsid w:val="30B023A9"/>
    <w:rsid w:val="30BA6F50"/>
    <w:rsid w:val="30C61BCC"/>
    <w:rsid w:val="30EC0F07"/>
    <w:rsid w:val="30EF74E3"/>
    <w:rsid w:val="31324B8F"/>
    <w:rsid w:val="313F7C11"/>
    <w:rsid w:val="31CD6F8B"/>
    <w:rsid w:val="31DF0848"/>
    <w:rsid w:val="31E84557"/>
    <w:rsid w:val="31F14A27"/>
    <w:rsid w:val="322841C1"/>
    <w:rsid w:val="326F1DF0"/>
    <w:rsid w:val="32832EEF"/>
    <w:rsid w:val="329D070B"/>
    <w:rsid w:val="32B617CD"/>
    <w:rsid w:val="32D06D32"/>
    <w:rsid w:val="32E4633A"/>
    <w:rsid w:val="32F21E69"/>
    <w:rsid w:val="330861DE"/>
    <w:rsid w:val="33264BA4"/>
    <w:rsid w:val="333A41AC"/>
    <w:rsid w:val="33492641"/>
    <w:rsid w:val="339F3E6E"/>
    <w:rsid w:val="33A352A1"/>
    <w:rsid w:val="34060532"/>
    <w:rsid w:val="341669C7"/>
    <w:rsid w:val="34897674"/>
    <w:rsid w:val="349F69BC"/>
    <w:rsid w:val="34A22009"/>
    <w:rsid w:val="34AE4E51"/>
    <w:rsid w:val="34C44675"/>
    <w:rsid w:val="34E24AFB"/>
    <w:rsid w:val="350B22A4"/>
    <w:rsid w:val="35584DBD"/>
    <w:rsid w:val="35867B7C"/>
    <w:rsid w:val="35E16362"/>
    <w:rsid w:val="36525CB0"/>
    <w:rsid w:val="36B44275"/>
    <w:rsid w:val="36BD6A42"/>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26A82"/>
    <w:rsid w:val="38E726E0"/>
    <w:rsid w:val="39180AEB"/>
    <w:rsid w:val="393D286A"/>
    <w:rsid w:val="39551D3F"/>
    <w:rsid w:val="399C796E"/>
    <w:rsid w:val="3A005299"/>
    <w:rsid w:val="3A03182B"/>
    <w:rsid w:val="3A0A4C3A"/>
    <w:rsid w:val="3A371445"/>
    <w:rsid w:val="3A60099C"/>
    <w:rsid w:val="3A620996"/>
    <w:rsid w:val="3A8A3C6B"/>
    <w:rsid w:val="3AB26D1E"/>
    <w:rsid w:val="3AC46CFD"/>
    <w:rsid w:val="3AE0388B"/>
    <w:rsid w:val="3AF1337E"/>
    <w:rsid w:val="3B2220F5"/>
    <w:rsid w:val="3B273268"/>
    <w:rsid w:val="3B871F58"/>
    <w:rsid w:val="3B8A37F6"/>
    <w:rsid w:val="3BB32D4D"/>
    <w:rsid w:val="3BC27434"/>
    <w:rsid w:val="3BFDD941"/>
    <w:rsid w:val="3C2505B3"/>
    <w:rsid w:val="3C3245BA"/>
    <w:rsid w:val="3C494D52"/>
    <w:rsid w:val="3C552025"/>
    <w:rsid w:val="3CB52AF5"/>
    <w:rsid w:val="3CB60D47"/>
    <w:rsid w:val="3CB70371"/>
    <w:rsid w:val="3CC52D38"/>
    <w:rsid w:val="3D15341C"/>
    <w:rsid w:val="3D2C1326"/>
    <w:rsid w:val="3D536596"/>
    <w:rsid w:val="3D5B18EE"/>
    <w:rsid w:val="3D7F382F"/>
    <w:rsid w:val="3D7F55DD"/>
    <w:rsid w:val="3D9A41C5"/>
    <w:rsid w:val="3DCE0312"/>
    <w:rsid w:val="3E14487B"/>
    <w:rsid w:val="3E151A9D"/>
    <w:rsid w:val="3E4D72C5"/>
    <w:rsid w:val="3E5D60F8"/>
    <w:rsid w:val="3E5E1696"/>
    <w:rsid w:val="3E770C94"/>
    <w:rsid w:val="3E8E35FE"/>
    <w:rsid w:val="3EB017C6"/>
    <w:rsid w:val="3EBA2645"/>
    <w:rsid w:val="3F6D0AAA"/>
    <w:rsid w:val="3F8F762D"/>
    <w:rsid w:val="3FA27361"/>
    <w:rsid w:val="403D352D"/>
    <w:rsid w:val="40550877"/>
    <w:rsid w:val="405D094D"/>
    <w:rsid w:val="408F1FDB"/>
    <w:rsid w:val="40DB783A"/>
    <w:rsid w:val="40ED4F53"/>
    <w:rsid w:val="410F31A3"/>
    <w:rsid w:val="4114603C"/>
    <w:rsid w:val="413E7700"/>
    <w:rsid w:val="41456B3D"/>
    <w:rsid w:val="41517290"/>
    <w:rsid w:val="418E780E"/>
    <w:rsid w:val="41E9571B"/>
    <w:rsid w:val="41E974C9"/>
    <w:rsid w:val="41F540C0"/>
    <w:rsid w:val="41FA0169"/>
    <w:rsid w:val="420460B1"/>
    <w:rsid w:val="42091919"/>
    <w:rsid w:val="420F2749"/>
    <w:rsid w:val="423A5F76"/>
    <w:rsid w:val="42BD2703"/>
    <w:rsid w:val="42C615B8"/>
    <w:rsid w:val="42FE6FA4"/>
    <w:rsid w:val="431237F5"/>
    <w:rsid w:val="433C7ACC"/>
    <w:rsid w:val="43713C1A"/>
    <w:rsid w:val="43A833B4"/>
    <w:rsid w:val="43E4263E"/>
    <w:rsid w:val="4419328C"/>
    <w:rsid w:val="441B5933"/>
    <w:rsid w:val="442944F4"/>
    <w:rsid w:val="443E41B9"/>
    <w:rsid w:val="44AA4E01"/>
    <w:rsid w:val="44B87280"/>
    <w:rsid w:val="44DA134B"/>
    <w:rsid w:val="45012D7B"/>
    <w:rsid w:val="45362EF5"/>
    <w:rsid w:val="45724BB3"/>
    <w:rsid w:val="4594599D"/>
    <w:rsid w:val="45C142B9"/>
    <w:rsid w:val="45C83899"/>
    <w:rsid w:val="45D43FEC"/>
    <w:rsid w:val="46114F0F"/>
    <w:rsid w:val="46D83FB0"/>
    <w:rsid w:val="46FF32EA"/>
    <w:rsid w:val="47507FEA"/>
    <w:rsid w:val="47590C4D"/>
    <w:rsid w:val="477414D3"/>
    <w:rsid w:val="47874069"/>
    <w:rsid w:val="47897ABA"/>
    <w:rsid w:val="47A15B48"/>
    <w:rsid w:val="47AD0F98"/>
    <w:rsid w:val="48256D81"/>
    <w:rsid w:val="48600223"/>
    <w:rsid w:val="486615C5"/>
    <w:rsid w:val="48671147"/>
    <w:rsid w:val="486D24D6"/>
    <w:rsid w:val="48763A80"/>
    <w:rsid w:val="48F16866"/>
    <w:rsid w:val="49584F34"/>
    <w:rsid w:val="496D4E83"/>
    <w:rsid w:val="49A92C07"/>
    <w:rsid w:val="49EF5898"/>
    <w:rsid w:val="49FB248F"/>
    <w:rsid w:val="4A121587"/>
    <w:rsid w:val="4A143551"/>
    <w:rsid w:val="4A4756D4"/>
    <w:rsid w:val="4A90104A"/>
    <w:rsid w:val="4B3E127F"/>
    <w:rsid w:val="4B460B4B"/>
    <w:rsid w:val="4B475260"/>
    <w:rsid w:val="4B7F0E9E"/>
    <w:rsid w:val="4BD10EBA"/>
    <w:rsid w:val="4BE56F53"/>
    <w:rsid w:val="4C2630C7"/>
    <w:rsid w:val="4CA54934"/>
    <w:rsid w:val="4CAD7FC7"/>
    <w:rsid w:val="4CFB27A6"/>
    <w:rsid w:val="4D3B2BA3"/>
    <w:rsid w:val="4D502AF2"/>
    <w:rsid w:val="4D875DE8"/>
    <w:rsid w:val="4DA9212D"/>
    <w:rsid w:val="4DB36BDD"/>
    <w:rsid w:val="4E111574"/>
    <w:rsid w:val="4E437F61"/>
    <w:rsid w:val="4E516B22"/>
    <w:rsid w:val="4E5B79A0"/>
    <w:rsid w:val="4E5C7274"/>
    <w:rsid w:val="4E6D373C"/>
    <w:rsid w:val="4E775E5C"/>
    <w:rsid w:val="4E796078"/>
    <w:rsid w:val="4ED220E5"/>
    <w:rsid w:val="4F043B94"/>
    <w:rsid w:val="4F42290E"/>
    <w:rsid w:val="4F4421E2"/>
    <w:rsid w:val="4F675ED1"/>
    <w:rsid w:val="4F894099"/>
    <w:rsid w:val="4F912F4E"/>
    <w:rsid w:val="4FCB46B2"/>
    <w:rsid w:val="50137E07"/>
    <w:rsid w:val="50327B53"/>
    <w:rsid w:val="504A7CCC"/>
    <w:rsid w:val="505B3C87"/>
    <w:rsid w:val="506D5BA1"/>
    <w:rsid w:val="509B2D47"/>
    <w:rsid w:val="50F96FFC"/>
    <w:rsid w:val="5124051D"/>
    <w:rsid w:val="513E0CF0"/>
    <w:rsid w:val="514048B2"/>
    <w:rsid w:val="514E559A"/>
    <w:rsid w:val="515B7795"/>
    <w:rsid w:val="51694182"/>
    <w:rsid w:val="516E1798"/>
    <w:rsid w:val="518C60C3"/>
    <w:rsid w:val="51B55619"/>
    <w:rsid w:val="51B80C66"/>
    <w:rsid w:val="51C30BDC"/>
    <w:rsid w:val="51C35D1F"/>
    <w:rsid w:val="51E56C3E"/>
    <w:rsid w:val="52036385"/>
    <w:rsid w:val="52100AA2"/>
    <w:rsid w:val="52315008"/>
    <w:rsid w:val="525766D1"/>
    <w:rsid w:val="5264494A"/>
    <w:rsid w:val="52750905"/>
    <w:rsid w:val="5294522F"/>
    <w:rsid w:val="52AB1C77"/>
    <w:rsid w:val="52AB5B97"/>
    <w:rsid w:val="52B23907"/>
    <w:rsid w:val="52EB26AA"/>
    <w:rsid w:val="530A54F1"/>
    <w:rsid w:val="5326258A"/>
    <w:rsid w:val="533243C3"/>
    <w:rsid w:val="53346A12"/>
    <w:rsid w:val="538F3C48"/>
    <w:rsid w:val="53DF766E"/>
    <w:rsid w:val="53EC4BF7"/>
    <w:rsid w:val="541E4EFC"/>
    <w:rsid w:val="542720D3"/>
    <w:rsid w:val="54426960"/>
    <w:rsid w:val="54B55930"/>
    <w:rsid w:val="54C01DC9"/>
    <w:rsid w:val="54C94F38"/>
    <w:rsid w:val="54CE42D8"/>
    <w:rsid w:val="54E83610"/>
    <w:rsid w:val="54F226E1"/>
    <w:rsid w:val="55320D2F"/>
    <w:rsid w:val="5583158B"/>
    <w:rsid w:val="55A56229"/>
    <w:rsid w:val="55B65FCD"/>
    <w:rsid w:val="55F935FB"/>
    <w:rsid w:val="564451BE"/>
    <w:rsid w:val="566E223B"/>
    <w:rsid w:val="574D3BFE"/>
    <w:rsid w:val="5765363E"/>
    <w:rsid w:val="57BE68AA"/>
    <w:rsid w:val="57E207EA"/>
    <w:rsid w:val="58405511"/>
    <w:rsid w:val="586E207E"/>
    <w:rsid w:val="587D5C68"/>
    <w:rsid w:val="58B77EC9"/>
    <w:rsid w:val="58C17724"/>
    <w:rsid w:val="58C3686E"/>
    <w:rsid w:val="58D00F8B"/>
    <w:rsid w:val="58D04124"/>
    <w:rsid w:val="58D75E75"/>
    <w:rsid w:val="58D77C23"/>
    <w:rsid w:val="58E660B8"/>
    <w:rsid w:val="59084281"/>
    <w:rsid w:val="592326DD"/>
    <w:rsid w:val="592D018B"/>
    <w:rsid w:val="59305585"/>
    <w:rsid w:val="59C208D3"/>
    <w:rsid w:val="5A0233C6"/>
    <w:rsid w:val="5A132EDD"/>
    <w:rsid w:val="5A366BCB"/>
    <w:rsid w:val="5A655703"/>
    <w:rsid w:val="5A955E00"/>
    <w:rsid w:val="5AD20FEA"/>
    <w:rsid w:val="5AD25392"/>
    <w:rsid w:val="5B157290"/>
    <w:rsid w:val="5B1F3B03"/>
    <w:rsid w:val="5B70435F"/>
    <w:rsid w:val="5B767BC7"/>
    <w:rsid w:val="5BC326E1"/>
    <w:rsid w:val="5BD5FD07"/>
    <w:rsid w:val="5C231D38"/>
    <w:rsid w:val="5C337866"/>
    <w:rsid w:val="5C594DF3"/>
    <w:rsid w:val="5C891B7C"/>
    <w:rsid w:val="5CA50038"/>
    <w:rsid w:val="5CCB7615"/>
    <w:rsid w:val="5CD5729F"/>
    <w:rsid w:val="5D170F36"/>
    <w:rsid w:val="5D437F7D"/>
    <w:rsid w:val="5DB1138B"/>
    <w:rsid w:val="5DC53CD5"/>
    <w:rsid w:val="5DDC7654"/>
    <w:rsid w:val="5DFA2580"/>
    <w:rsid w:val="5E0E058B"/>
    <w:rsid w:val="5E116ACE"/>
    <w:rsid w:val="5E194573"/>
    <w:rsid w:val="5E48511F"/>
    <w:rsid w:val="5E5341F0"/>
    <w:rsid w:val="5E5835B4"/>
    <w:rsid w:val="5E6E2DD8"/>
    <w:rsid w:val="5E7E05A8"/>
    <w:rsid w:val="5E8E6FD6"/>
    <w:rsid w:val="5EA63795"/>
    <w:rsid w:val="5EBD5B0D"/>
    <w:rsid w:val="5F090D52"/>
    <w:rsid w:val="5F092B01"/>
    <w:rsid w:val="5F2C67EF"/>
    <w:rsid w:val="5F7E529D"/>
    <w:rsid w:val="5FBA204D"/>
    <w:rsid w:val="602A5424"/>
    <w:rsid w:val="60563B24"/>
    <w:rsid w:val="60620BA5"/>
    <w:rsid w:val="608B4120"/>
    <w:rsid w:val="60A01243"/>
    <w:rsid w:val="61073070"/>
    <w:rsid w:val="6139510F"/>
    <w:rsid w:val="61534507"/>
    <w:rsid w:val="61926DDD"/>
    <w:rsid w:val="61A92379"/>
    <w:rsid w:val="61AB7E9F"/>
    <w:rsid w:val="61BE64EE"/>
    <w:rsid w:val="61DE0274"/>
    <w:rsid w:val="61FC4B9F"/>
    <w:rsid w:val="620923F0"/>
    <w:rsid w:val="627064A9"/>
    <w:rsid w:val="628A21AA"/>
    <w:rsid w:val="62A35D2B"/>
    <w:rsid w:val="62C51434"/>
    <w:rsid w:val="631D301E"/>
    <w:rsid w:val="637048BF"/>
    <w:rsid w:val="637462DF"/>
    <w:rsid w:val="639A01CB"/>
    <w:rsid w:val="639A641D"/>
    <w:rsid w:val="63B374DF"/>
    <w:rsid w:val="63D538F9"/>
    <w:rsid w:val="63F21DB5"/>
    <w:rsid w:val="640104D5"/>
    <w:rsid w:val="64061D04"/>
    <w:rsid w:val="64485E79"/>
    <w:rsid w:val="644D7933"/>
    <w:rsid w:val="64841E7A"/>
    <w:rsid w:val="6492024A"/>
    <w:rsid w:val="64AF5EF8"/>
    <w:rsid w:val="65164AD9"/>
    <w:rsid w:val="65444892"/>
    <w:rsid w:val="65654809"/>
    <w:rsid w:val="65AE7F5E"/>
    <w:rsid w:val="65C77271"/>
    <w:rsid w:val="66326ED8"/>
    <w:rsid w:val="66833198"/>
    <w:rsid w:val="66C022F9"/>
    <w:rsid w:val="66D103A8"/>
    <w:rsid w:val="66D6776C"/>
    <w:rsid w:val="66DB2FD4"/>
    <w:rsid w:val="671F5780"/>
    <w:rsid w:val="6744501E"/>
    <w:rsid w:val="68262975"/>
    <w:rsid w:val="683E3F52"/>
    <w:rsid w:val="6855196A"/>
    <w:rsid w:val="68A51AEC"/>
    <w:rsid w:val="68DB3760"/>
    <w:rsid w:val="68EF0FB9"/>
    <w:rsid w:val="69112CDD"/>
    <w:rsid w:val="69196036"/>
    <w:rsid w:val="692429E9"/>
    <w:rsid w:val="69455B2B"/>
    <w:rsid w:val="696E0B50"/>
    <w:rsid w:val="6A4A2640"/>
    <w:rsid w:val="6A7774B8"/>
    <w:rsid w:val="6A8E65B0"/>
    <w:rsid w:val="6B19231D"/>
    <w:rsid w:val="6B2A277C"/>
    <w:rsid w:val="6B6F1F3D"/>
    <w:rsid w:val="6B851187"/>
    <w:rsid w:val="6BA20565"/>
    <w:rsid w:val="6BC71D79"/>
    <w:rsid w:val="6C046B2A"/>
    <w:rsid w:val="6C2373DC"/>
    <w:rsid w:val="6C450EF0"/>
    <w:rsid w:val="6C506213"/>
    <w:rsid w:val="6C552A2E"/>
    <w:rsid w:val="6CE8644B"/>
    <w:rsid w:val="6D231231"/>
    <w:rsid w:val="6D521B17"/>
    <w:rsid w:val="6D9640F9"/>
    <w:rsid w:val="6D9D0E07"/>
    <w:rsid w:val="6D9E2FAE"/>
    <w:rsid w:val="6DE62094"/>
    <w:rsid w:val="6DEA61F3"/>
    <w:rsid w:val="6E5A6ED5"/>
    <w:rsid w:val="6E5D0773"/>
    <w:rsid w:val="6E6179B3"/>
    <w:rsid w:val="6E7A7577"/>
    <w:rsid w:val="6E9A5523"/>
    <w:rsid w:val="6EA77C40"/>
    <w:rsid w:val="6EAC5256"/>
    <w:rsid w:val="6EAE0FCF"/>
    <w:rsid w:val="6ECF78C3"/>
    <w:rsid w:val="6EF235B1"/>
    <w:rsid w:val="6F215C44"/>
    <w:rsid w:val="6F305E87"/>
    <w:rsid w:val="6F413BF1"/>
    <w:rsid w:val="6F4F630E"/>
    <w:rsid w:val="6F63000B"/>
    <w:rsid w:val="6F997ED1"/>
    <w:rsid w:val="6FC00FB9"/>
    <w:rsid w:val="6FC84312"/>
    <w:rsid w:val="6FD20CED"/>
    <w:rsid w:val="6FE56C72"/>
    <w:rsid w:val="700A0487"/>
    <w:rsid w:val="7073427E"/>
    <w:rsid w:val="707D6EAA"/>
    <w:rsid w:val="70BC3E77"/>
    <w:rsid w:val="70C33179"/>
    <w:rsid w:val="70C76378"/>
    <w:rsid w:val="70E4517B"/>
    <w:rsid w:val="70E76A1A"/>
    <w:rsid w:val="713B6A1E"/>
    <w:rsid w:val="713C4FB8"/>
    <w:rsid w:val="713D7BC8"/>
    <w:rsid w:val="714B6FA9"/>
    <w:rsid w:val="715E1D8D"/>
    <w:rsid w:val="71674675"/>
    <w:rsid w:val="71C07997"/>
    <w:rsid w:val="71DC0FEA"/>
    <w:rsid w:val="71F80EDE"/>
    <w:rsid w:val="721D0945"/>
    <w:rsid w:val="722F2426"/>
    <w:rsid w:val="724266DE"/>
    <w:rsid w:val="725B321B"/>
    <w:rsid w:val="72D134DE"/>
    <w:rsid w:val="7315786E"/>
    <w:rsid w:val="73223D39"/>
    <w:rsid w:val="735008A6"/>
    <w:rsid w:val="73905147"/>
    <w:rsid w:val="73B726D3"/>
    <w:rsid w:val="73E55492"/>
    <w:rsid w:val="73E84F83"/>
    <w:rsid w:val="74AB1A1D"/>
    <w:rsid w:val="74C61EAA"/>
    <w:rsid w:val="750E6C6B"/>
    <w:rsid w:val="753F6E24"/>
    <w:rsid w:val="75581C94"/>
    <w:rsid w:val="75814171"/>
    <w:rsid w:val="75976C60"/>
    <w:rsid w:val="75CE7B37"/>
    <w:rsid w:val="75CF63FA"/>
    <w:rsid w:val="75D92DD5"/>
    <w:rsid w:val="761D2E3A"/>
    <w:rsid w:val="76424E14"/>
    <w:rsid w:val="76D8312E"/>
    <w:rsid w:val="76EE28B0"/>
    <w:rsid w:val="76F8372F"/>
    <w:rsid w:val="76FD3C10"/>
    <w:rsid w:val="770E4D00"/>
    <w:rsid w:val="772C33D8"/>
    <w:rsid w:val="775F7911"/>
    <w:rsid w:val="778356EE"/>
    <w:rsid w:val="7795690D"/>
    <w:rsid w:val="78654DF4"/>
    <w:rsid w:val="7871743B"/>
    <w:rsid w:val="78AC52A2"/>
    <w:rsid w:val="78C22246"/>
    <w:rsid w:val="78D37FAF"/>
    <w:rsid w:val="79435FC4"/>
    <w:rsid w:val="79505FD9"/>
    <w:rsid w:val="79567BC4"/>
    <w:rsid w:val="795F7A95"/>
    <w:rsid w:val="796A01BC"/>
    <w:rsid w:val="79703A50"/>
    <w:rsid w:val="79826CFE"/>
    <w:rsid w:val="798D2B1A"/>
    <w:rsid w:val="79AC2001"/>
    <w:rsid w:val="79BB1CDC"/>
    <w:rsid w:val="79F20909"/>
    <w:rsid w:val="7A546ECE"/>
    <w:rsid w:val="7A57076C"/>
    <w:rsid w:val="7A592C72"/>
    <w:rsid w:val="7A94376E"/>
    <w:rsid w:val="7ABE4C8F"/>
    <w:rsid w:val="7AE069B4"/>
    <w:rsid w:val="7AFC3A89"/>
    <w:rsid w:val="7B095400"/>
    <w:rsid w:val="7B1844AE"/>
    <w:rsid w:val="7B6E2211"/>
    <w:rsid w:val="7B75534E"/>
    <w:rsid w:val="7B767318"/>
    <w:rsid w:val="7B8657AD"/>
    <w:rsid w:val="7BDC0A6A"/>
    <w:rsid w:val="7BE95D3C"/>
    <w:rsid w:val="7BFA3AA5"/>
    <w:rsid w:val="7C136915"/>
    <w:rsid w:val="7C15268D"/>
    <w:rsid w:val="7C6A0C2B"/>
    <w:rsid w:val="7C833A9B"/>
    <w:rsid w:val="7C8B294F"/>
    <w:rsid w:val="7C8E41ED"/>
    <w:rsid w:val="7CAD20F4"/>
    <w:rsid w:val="7CCF4F32"/>
    <w:rsid w:val="7CE56503"/>
    <w:rsid w:val="7D126BCC"/>
    <w:rsid w:val="7D80447E"/>
    <w:rsid w:val="7D9925BD"/>
    <w:rsid w:val="7E250F14"/>
    <w:rsid w:val="7E266DD3"/>
    <w:rsid w:val="7E355268"/>
    <w:rsid w:val="7E3E411D"/>
    <w:rsid w:val="7E5413FF"/>
    <w:rsid w:val="7E61605D"/>
    <w:rsid w:val="7E6D67B0"/>
    <w:rsid w:val="7E9A331D"/>
    <w:rsid w:val="7EBF2DF7"/>
    <w:rsid w:val="7ECD724F"/>
    <w:rsid w:val="7EDC7492"/>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E0C86"/>
  <w15:docId w15:val="{AE4D2822-E978-4D70-8297-48048886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style>
  <w:style w:type="paragraph" w:styleId="a4">
    <w:name w:val="Body Text"/>
    <w:basedOn w:val="a"/>
    <w:uiPriority w:val="1"/>
    <w:qFormat/>
    <w:pPr>
      <w:ind w:left="319"/>
    </w:pPr>
    <w:rPr>
      <w:sz w:val="24"/>
      <w:szCs w:val="24"/>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7">
    <w:name w:val="Normal (Web)"/>
    <w:basedOn w:val="a"/>
    <w:semiHidden/>
    <w:unhideWhenUsed/>
    <w:qFormat/>
    <w:pPr>
      <w:spacing w:beforeAutospacing="1" w:afterAutospacing="1"/>
    </w:pPr>
    <w:rPr>
      <w:rFonts w:cs="Times New Roman"/>
      <w:sz w:val="24"/>
      <w:lang w:val="en-US" w:bidi="ar-SA"/>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Emphasis"/>
    <w:basedOn w:val="a0"/>
    <w:qFormat/>
    <w:rPr>
      <w:i/>
    </w:rPr>
  </w:style>
  <w:style w:type="character" w:styleId="aa">
    <w:name w:val="annotation reference"/>
    <w:basedOn w:val="a0"/>
    <w:semiHidden/>
    <w:unhideWhenUsed/>
    <w:qFormat/>
    <w:rPr>
      <w:sz w:val="21"/>
      <w:szCs w:val="21"/>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1">
    <w:name w:val="修订1"/>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315</Words>
  <Characters>1799</Characters>
  <Application>Microsoft Office Word</Application>
  <DocSecurity>0</DocSecurity>
  <Lines>14</Lines>
  <Paragraphs>4</Paragraphs>
  <ScaleCrop>false</ScaleCrop>
  <Company>HBSC</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12</cp:revision>
  <cp:lastPrinted>2025-10-27T01:08:00Z</cp:lastPrinted>
  <dcterms:created xsi:type="dcterms:W3CDTF">2024-01-05T18:18:00Z</dcterms:created>
  <dcterms:modified xsi:type="dcterms:W3CDTF">2025-10-28T09:00:00Z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DC5D1BDE50F84A68A4B268F78EC879B4_13</vt:lpwstr>
  </property>
  <property fmtid="{D5CDD505-2E9C-101B-9397-08002B2CF9AE}" pid="4" name="KSOTemplateDocerSaveRecord">
    <vt:lpwstr>eyJoZGlkIjoiMmFmYzg4YzhmOGM5NWY3YTYyYTQ2ZDcyNmEwNmFjZDciLCJ1c2VySWQiOiIxMTgxNzg2NTk3In0=</vt:lpwstr>
  </property>
</Properties>
</file>