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7FA5" w14:textId="77777777" w:rsidR="00BE3855" w:rsidRPr="00602296" w:rsidRDefault="00BE3855" w:rsidP="009B4A01">
      <w:pPr>
        <w:spacing w:beforeLines="50" w:before="156" w:line="360" w:lineRule="auto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602296">
        <w:rPr>
          <w:rFonts w:ascii="宋体" w:eastAsia="宋体" w:hAnsi="宋体" w:cs="宋体"/>
          <w:sz w:val="21"/>
          <w:szCs w:val="21"/>
        </w:rPr>
        <w:t xml:space="preserve">603600                                          </w:t>
      </w: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r w:rsidRPr="00602296">
        <w:rPr>
          <w:rFonts w:ascii="宋体" w:eastAsia="宋体" w:hAnsi="宋体" w:cs="宋体" w:hint="eastAsia"/>
          <w:sz w:val="21"/>
          <w:szCs w:val="21"/>
        </w:rPr>
        <w:t>永艺股份</w:t>
      </w:r>
    </w:p>
    <w:p w14:paraId="0B47A553" w14:textId="77777777" w:rsidR="00BE3855" w:rsidRPr="009B4B75" w:rsidRDefault="00BE3855" w:rsidP="00D90135">
      <w:pPr>
        <w:spacing w:beforeLines="50" w:before="156" w:line="500" w:lineRule="exact"/>
        <w:ind w:firstLineChars="0" w:firstLine="0"/>
        <w:jc w:val="center"/>
        <w:rPr>
          <w:rFonts w:ascii="宋体" w:eastAsia="宋体" w:hAnsi="宋体" w:cs="宋体"/>
          <w:b/>
          <w:iCs/>
          <w:sz w:val="30"/>
          <w:szCs w:val="30"/>
        </w:rPr>
      </w:pPr>
      <w:r w:rsidRPr="009B4B75">
        <w:rPr>
          <w:rFonts w:ascii="宋体" w:eastAsia="宋体" w:hAnsi="宋体" w:cs="宋体" w:hint="eastAsia"/>
          <w:b/>
          <w:iCs/>
          <w:sz w:val="30"/>
          <w:szCs w:val="30"/>
        </w:rPr>
        <w:t>永艺家具股份有限公司</w:t>
      </w:r>
    </w:p>
    <w:p w14:paraId="569E2676" w14:textId="733E4C67" w:rsidR="00BE3855" w:rsidRPr="009B4B75" w:rsidRDefault="00BE3855" w:rsidP="00D90135">
      <w:pPr>
        <w:spacing w:afterLines="100" w:after="312" w:line="500" w:lineRule="exact"/>
        <w:ind w:firstLineChars="0" w:firstLine="0"/>
        <w:jc w:val="center"/>
        <w:rPr>
          <w:rFonts w:ascii="宋体" w:eastAsia="宋体" w:hAnsi="宋体" w:cs="宋体"/>
          <w:b/>
          <w:iCs/>
          <w:sz w:val="30"/>
          <w:szCs w:val="30"/>
        </w:rPr>
      </w:pPr>
      <w:r w:rsidRPr="009B4B75">
        <w:rPr>
          <w:rFonts w:ascii="宋体" w:eastAsia="宋体" w:hAnsi="宋体" w:cs="宋体" w:hint="eastAsia"/>
          <w:b/>
          <w:iCs/>
          <w:sz w:val="30"/>
          <w:szCs w:val="30"/>
        </w:rPr>
        <w:t>投资者关系活动记录表</w:t>
      </w:r>
      <w:r w:rsidR="00F15142" w:rsidRPr="00F15142">
        <w:rPr>
          <w:rFonts w:ascii="宋体" w:eastAsia="宋体" w:hAnsi="宋体" w:cs="宋体" w:hint="eastAsia"/>
          <w:b/>
          <w:iCs/>
          <w:sz w:val="30"/>
          <w:szCs w:val="30"/>
        </w:rPr>
        <w:t>（2025年10月28日</w:t>
      </w:r>
      <w:r w:rsidR="0048163C" w:rsidRPr="0048163C">
        <w:rPr>
          <w:rFonts w:ascii="宋体" w:eastAsia="宋体" w:hAnsi="宋体" w:cs="宋体" w:hint="eastAsia"/>
          <w:b/>
          <w:iCs/>
          <w:sz w:val="30"/>
          <w:szCs w:val="30"/>
        </w:rPr>
        <w:t>）</w:t>
      </w:r>
    </w:p>
    <w:p w14:paraId="27C88E49" w14:textId="5BE4C6FF" w:rsidR="00BE3855" w:rsidRPr="00D90135" w:rsidRDefault="00BE3855" w:rsidP="00D90135">
      <w:pPr>
        <w:spacing w:line="440" w:lineRule="exact"/>
        <w:ind w:rightChars="26" w:right="83" w:firstLine="480"/>
        <w:jc w:val="right"/>
        <w:rPr>
          <w:sz w:val="24"/>
          <w:szCs w:val="24"/>
        </w:rPr>
      </w:pPr>
      <w:r w:rsidRPr="00D90135">
        <w:rPr>
          <w:rFonts w:ascii="宋体" w:eastAsia="宋体" w:hAnsi="宋体" w:cs="宋体" w:hint="eastAsia"/>
          <w:bCs/>
          <w:iCs/>
          <w:sz w:val="24"/>
          <w:szCs w:val="24"/>
        </w:rPr>
        <w:t>编号：</w:t>
      </w:r>
      <w:r w:rsidRPr="00D90135">
        <w:rPr>
          <w:rFonts w:ascii="宋体" w:eastAsia="宋体" w:hAnsi="宋体" w:cs="宋体"/>
          <w:bCs/>
          <w:iCs/>
          <w:sz w:val="24"/>
          <w:szCs w:val="24"/>
        </w:rPr>
        <w:t>202</w:t>
      </w:r>
      <w:r w:rsidR="00791294" w:rsidRPr="00D90135">
        <w:rPr>
          <w:rFonts w:ascii="宋体" w:eastAsia="宋体" w:hAnsi="宋体" w:cs="宋体"/>
          <w:bCs/>
          <w:iCs/>
          <w:sz w:val="24"/>
          <w:szCs w:val="24"/>
        </w:rPr>
        <w:t>5</w:t>
      </w:r>
      <w:r w:rsidRPr="00D90135">
        <w:rPr>
          <w:rFonts w:ascii="宋体" w:eastAsia="宋体" w:hAnsi="宋体" w:cs="宋体" w:hint="eastAsia"/>
          <w:bCs/>
          <w:iCs/>
          <w:sz w:val="24"/>
          <w:szCs w:val="24"/>
        </w:rPr>
        <w:t>-0</w:t>
      </w:r>
      <w:r w:rsidRPr="00D90135">
        <w:rPr>
          <w:rFonts w:ascii="宋体" w:eastAsia="宋体" w:hAnsi="宋体" w:cs="宋体"/>
          <w:bCs/>
          <w:iCs/>
          <w:sz w:val="24"/>
          <w:szCs w:val="24"/>
        </w:rPr>
        <w:t>0</w:t>
      </w:r>
      <w:r w:rsidR="00BB3E8A" w:rsidRPr="00D90135">
        <w:rPr>
          <w:rFonts w:ascii="宋体" w:eastAsia="宋体" w:hAnsi="宋体" w:cs="宋体"/>
          <w:bCs/>
          <w:iCs/>
          <w:sz w:val="24"/>
          <w:szCs w:val="24"/>
        </w:rPr>
        <w:t>5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BE3855" w:rsidRPr="00F90A2E" w14:paraId="54097C57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D09A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93A9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□特定对象调研        □分析师会议</w:t>
            </w:r>
          </w:p>
          <w:p w14:paraId="1EB7B401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□媒体采访            □业绩说明会</w:t>
            </w:r>
          </w:p>
          <w:p w14:paraId="08815CB7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□新闻发布会          □路演活动</w:t>
            </w:r>
          </w:p>
          <w:p w14:paraId="65CE7D7E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 xml:space="preserve">□现场参观 </w:t>
            </w:r>
            <w:r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 xml:space="preserve"> 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 xml:space="preserve">          √电话会议</w:t>
            </w:r>
          </w:p>
          <w:p w14:paraId="3DB140A3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 xml:space="preserve">□网络会议 </w:t>
            </w:r>
            <w:r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 xml:space="preserve">           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□其他</w:t>
            </w:r>
          </w:p>
        </w:tc>
      </w:tr>
      <w:tr w:rsidR="00BE3855" w:rsidRPr="00F90A2E" w14:paraId="1659E55D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E841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1E2" w14:textId="7B3B4B59" w:rsidR="00BE3855" w:rsidRPr="00F90A2E" w:rsidRDefault="008E5ADA" w:rsidP="0008301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FF0000"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信达证券、</w:t>
            </w:r>
            <w:r w:rsidR="00B9475B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长江证券、</w:t>
            </w:r>
            <w:r w:rsidR="00D9163D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国信证券、国海证券、方正证券、西部证券、</w:t>
            </w:r>
            <w:r w:rsidR="00B9475B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招银理财、</w:t>
            </w:r>
            <w:r w:rsidR="00D9163D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西部利得、工银瑞信、摩根士丹利、前海联合、景林资产、泰康基金、复胜投资、华商基金、农银汇理、海富通基金、富国基金、嘉实基金、国海富兰克林、华泰资产、中信保诚、平安基金、</w:t>
            </w:r>
            <w:r w:rsidR="00B9475B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阳光资产、</w:t>
            </w:r>
            <w:r w:rsidR="00D9163D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金信基金、国投瑞银、建信基金</w:t>
            </w:r>
            <w:r w:rsidR="00BE3855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（排名不分先后）</w:t>
            </w:r>
          </w:p>
        </w:tc>
      </w:tr>
      <w:tr w:rsidR="00BE3855" w:rsidRPr="00F90A2E" w14:paraId="06A3FB8E" w14:textId="77777777" w:rsidTr="009E0F58">
        <w:trPr>
          <w:trHeight w:val="622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E559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4287" w14:textId="3A9935E3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</w:t>
            </w:r>
            <w:r w:rsidR="0008301E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BB3E8A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10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BB3E8A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28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日（星期</w:t>
            </w:r>
            <w:r w:rsidR="005F5E88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二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）</w:t>
            </w:r>
            <w:r w:rsidR="005F5E88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10</w:t>
            </w:r>
            <w:r w:rsidR="005F5E88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BB3E8A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 w:rsidR="005F5E88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0-11</w:t>
            </w:r>
            <w:r w:rsidR="005F5E88"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BB3E8A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 w:rsidR="005F5E88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</w:p>
        </w:tc>
      </w:tr>
      <w:tr w:rsidR="00BE3855" w:rsidRPr="00F90A2E" w14:paraId="2C5F41B4" w14:textId="77777777" w:rsidTr="009E0F58">
        <w:trPr>
          <w:trHeight w:val="56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2723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5E88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BE3855" w:rsidRPr="00F90A2E" w14:paraId="66707477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5601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4660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董事会秘书顾钦杭先生</w:t>
            </w:r>
          </w:p>
        </w:tc>
      </w:tr>
      <w:tr w:rsidR="00BE3855" w:rsidRPr="00F90A2E" w14:paraId="2F92E874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DCA" w14:textId="0F33DEEA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15D7" w14:textId="1F6B3B14" w:rsidR="00B2687D" w:rsidRPr="00F90A2E" w:rsidRDefault="00B2687D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一、介绍公司2</w:t>
            </w: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02</w:t>
            </w:r>
            <w:r w:rsidR="005F5E88"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="00A0150D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前三季度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总体经营情况</w:t>
            </w:r>
          </w:p>
          <w:p w14:paraId="051C3BC6" w14:textId="77777777" w:rsidR="00DA03CC" w:rsidRPr="00F90A2E" w:rsidRDefault="00DA03CC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今年以来，世界经济增长放缓，全球贸易战升级和贸易政策不确定性加剧，主要国家通胀保持粘性，外部不稳定不确定因素较多，国内有效需求不足，困难挑战不少。公司继续以高质量发展为主线，贯彻落实“安静下来、聚焦专注、向内沉淀、持续进化”的经营方针，进一步加大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TOP国家TOP客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户的洞察和开拓力度，加快国内市场和自主品牌建设，持续优化运营管理水平，努力在方向正确且自己可以做好的事情上增强“确定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性”，以高质量发展的确定性应对外部环境急剧变化的不确定性，经营业绩保持平稳健康发展</w:t>
            </w:r>
            <w:r w:rsidR="00B2687D" w:rsidRPr="00F90A2E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bookmarkStart w:id="0" w:name="OLE_LINK25"/>
          </w:p>
          <w:p w14:paraId="1577CAF7" w14:textId="77777777" w:rsidR="00DA03CC" w:rsidRPr="00F90A2E" w:rsidRDefault="006F5D87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主要财务数据</w:t>
            </w:r>
          </w:p>
          <w:p w14:paraId="244DEBA3" w14:textId="77777777" w:rsidR="00DA03CC" w:rsidRPr="00F90A2E" w:rsidRDefault="00DA03CC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sz w:val="24"/>
                <w:szCs w:val="24"/>
              </w:rPr>
              <w:t>2025年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前三季度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，公司实现销售收入34.83亿元，同比增长2.75%；实现归母净利润1.91亿元，同比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下降1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4.83%，扣非后归母净利润1.85亿元，同比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下降1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7.54%</w:t>
            </w:r>
            <w:r w:rsidR="006F5D87" w:rsidRPr="00F90A2E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0242D685" w14:textId="77777777" w:rsidR="00DA03CC" w:rsidRPr="00F90A2E" w:rsidRDefault="00DA03CC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单三季度，公司实现销售收入1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2.94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亿元，同比下降3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.26%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；实现归母净利润0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.59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亿元，同比下降4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0.15%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，扣非后归母净利润0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.55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亿元，同比下降4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3.51%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4960981" w14:textId="77777777" w:rsidR="00DA03CC" w:rsidRPr="00F90A2E" w:rsidRDefault="00DA03CC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（二）销售收入</w:t>
            </w:r>
          </w:p>
          <w:p w14:paraId="64C5E891" w14:textId="1DA77FA2" w:rsidR="00DA03CC" w:rsidRPr="00F90A2E" w:rsidRDefault="00DA03CC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sz w:val="24"/>
                <w:szCs w:val="24"/>
              </w:rPr>
              <w:t>2025年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前三季度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，公司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销售收入增长整体承压，主要受贸易战及欧美通胀影响，美国市场收入有所下滑；但得益于近年来公司加快开拓国内市场及非美市场，今年以来国内市场以及亚洲、欧洲、中东、南美等非美市场增速较快。</w:t>
            </w:r>
          </w:p>
          <w:p w14:paraId="380AFCD8" w14:textId="77777777" w:rsidR="007B425F" w:rsidRDefault="00DA03CC" w:rsidP="007B425F">
            <w:pPr>
              <w:spacing w:line="360" w:lineRule="auto"/>
              <w:ind w:firstLine="482"/>
              <w:rPr>
                <w:rFonts w:ascii="宋体" w:eastAsia="宋体" w:hAnsi="宋体"/>
                <w:sz w:val="24"/>
                <w:szCs w:val="24"/>
              </w:rPr>
            </w:pPr>
            <w:r w:rsidRPr="00B9475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1、外销方面：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今年以来，受新一轮贸易战及欧美通胀粘性影响，美国市场家具类产品终端需求走弱，叠加关税政策不确定性使渠道商采购备库更加谨慎，1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-9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月中国办公椅出口额同比下降6.37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%，其中对美国的出口额同比下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降25.54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%。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面对复杂严峻的外部环境，公司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充分发挥海外基地优势，合理规避贸易摩擦风险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同时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进一步加强对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TOP国家TOP客户的洞察和开拓力度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大力开拓非美市场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，收入增速快于行业面上。</w:t>
            </w:r>
          </w:p>
          <w:p w14:paraId="60725C47" w14:textId="783C3004" w:rsidR="00DA03CC" w:rsidRPr="00F90A2E" w:rsidRDefault="00DA03CC" w:rsidP="007B425F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sz w:val="24"/>
                <w:szCs w:val="24"/>
              </w:rPr>
              <w:t>8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月以来，关税政策的不确定性总体上有所降低，美国渠道商采购逐渐趋于正常化，前期暂停或延迟的订单开始回补，三季度销售收入已有所反映、环比增长9</w:t>
            </w:r>
            <w:r w:rsidRPr="00F90A2E">
              <w:rPr>
                <w:rFonts w:ascii="宋体" w:eastAsia="宋体" w:hAnsi="宋体"/>
                <w:sz w:val="24"/>
                <w:szCs w:val="24"/>
              </w:rPr>
              <w:t>.82%</w:t>
            </w:r>
            <w:r w:rsidRPr="00F90A2E">
              <w:rPr>
                <w:rFonts w:ascii="宋体" w:eastAsia="宋体" w:hAnsi="宋体" w:hint="eastAsia"/>
                <w:sz w:val="24"/>
                <w:szCs w:val="24"/>
              </w:rPr>
              <w:t>；同时，随着美国减税降息效果逐步体现，四季度及明年美国市场家具等耐用品终端消费有望进一步提振。</w:t>
            </w:r>
          </w:p>
          <w:p w14:paraId="4F980285" w14:textId="77777777" w:rsidR="00DA03CC" w:rsidRPr="00F90A2E" w:rsidRDefault="00DA03CC" w:rsidP="00DA03CC">
            <w:pPr>
              <w:pStyle w:val="a3"/>
              <w:spacing w:line="360" w:lineRule="auto"/>
              <w:ind w:left="35" w:firstLineChars="202" w:firstLine="487"/>
              <w:rPr>
                <w:rFonts w:ascii="宋体" w:hAnsi="宋体"/>
                <w:sz w:val="24"/>
                <w:szCs w:val="24"/>
              </w:rPr>
            </w:pPr>
            <w:r w:rsidRPr="00B9475B">
              <w:rPr>
                <w:rFonts w:ascii="宋体" w:hAnsi="宋体" w:hint="eastAsia"/>
                <w:b/>
                <w:bCs/>
                <w:sz w:val="24"/>
                <w:szCs w:val="24"/>
              </w:rPr>
              <w:t>2、内销方面：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公司围绕产品、营销、渠道、供应链等协同发力，加快推进国内市场开拓和自主品牌建设。</w:t>
            </w:r>
            <w:bookmarkStart w:id="1" w:name="OLE_LINK5"/>
            <w:r w:rsidRPr="00F90A2E">
              <w:rPr>
                <w:rFonts w:ascii="宋体" w:hAnsi="宋体" w:hint="eastAsia"/>
                <w:sz w:val="24"/>
                <w:szCs w:val="24"/>
              </w:rPr>
              <w:t>前三季度内销自主品牌业务同比增长较快，盈利能力明显改善。</w:t>
            </w:r>
            <w:bookmarkEnd w:id="1"/>
            <w:r w:rsidRPr="00F90A2E">
              <w:rPr>
                <w:rFonts w:ascii="宋体" w:hAnsi="宋体"/>
                <w:sz w:val="24"/>
                <w:szCs w:val="24"/>
              </w:rPr>
              <w:t>Flow 系列</w:t>
            </w:r>
            <w:r w:rsidRPr="00F90A2E">
              <w:rPr>
                <w:rFonts w:ascii="宋体" w:hAnsi="宋体"/>
                <w:sz w:val="24"/>
                <w:szCs w:val="24"/>
              </w:rPr>
              <w:lastRenderedPageBreak/>
              <w:t>高端产品市场影响力不断提升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，在自主品牌业务中的销售占比明显提升，有效助推品牌打造；线上渠道围绕核心爆品持续做好流量入口管理和精细化运营，运营质量明显提升；线下加快自主渠道建设，在进一步加快推进2</w:t>
            </w:r>
            <w:r w:rsidRPr="00F90A2E">
              <w:rPr>
                <w:rFonts w:ascii="宋体" w:hAnsi="宋体"/>
                <w:sz w:val="24"/>
                <w:szCs w:val="24"/>
              </w:rPr>
              <w:t>B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渠道建设的同时，加快2</w:t>
            </w:r>
            <w:r w:rsidRPr="00F90A2E">
              <w:rPr>
                <w:rFonts w:ascii="宋体" w:hAnsi="宋体"/>
                <w:sz w:val="24"/>
                <w:szCs w:val="24"/>
              </w:rPr>
              <w:t>C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零售渠道建设，已基本跑通大中型城市线下零售旗舰店试点，进一步拓宽自主品牌销售渠道。</w:t>
            </w:r>
          </w:p>
          <w:p w14:paraId="1946DC93" w14:textId="77777777" w:rsidR="00DA03CC" w:rsidRPr="00F90A2E" w:rsidRDefault="00DA03CC" w:rsidP="00DA03CC">
            <w:pPr>
              <w:pStyle w:val="a3"/>
              <w:spacing w:line="360" w:lineRule="auto"/>
              <w:ind w:left="35" w:firstLineChars="202" w:firstLine="487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hAnsi="宋体" w:hint="eastAsia"/>
                <w:b/>
                <w:bCs/>
                <w:sz w:val="24"/>
                <w:szCs w:val="24"/>
              </w:rPr>
              <w:t>（三）净利润</w:t>
            </w:r>
          </w:p>
          <w:p w14:paraId="5A0A8A25" w14:textId="3DD83DFF" w:rsidR="00DA03CC" w:rsidRPr="00F90A2E" w:rsidRDefault="00DA03CC" w:rsidP="00DA03CC">
            <w:pPr>
              <w:pStyle w:val="a3"/>
              <w:spacing w:line="360" w:lineRule="auto"/>
              <w:ind w:left="35" w:firstLineChars="202" w:firstLine="485"/>
              <w:rPr>
                <w:rFonts w:ascii="宋体" w:hAnsi="宋体"/>
                <w:color w:val="FF0000"/>
                <w:sz w:val="24"/>
                <w:szCs w:val="24"/>
              </w:rPr>
            </w:pPr>
            <w:r w:rsidRPr="00F90A2E">
              <w:rPr>
                <w:rFonts w:ascii="宋体" w:hAnsi="宋体"/>
                <w:sz w:val="24"/>
                <w:szCs w:val="24"/>
              </w:rPr>
              <w:t>2025年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前三季度</w:t>
            </w:r>
            <w:r w:rsidRPr="00F90A2E">
              <w:rPr>
                <w:rFonts w:ascii="宋体" w:hAnsi="宋体"/>
                <w:sz w:val="24"/>
                <w:szCs w:val="24"/>
              </w:rPr>
              <w:t>，公司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净利润有所下滑，</w:t>
            </w:r>
            <w:bookmarkStart w:id="2" w:name="OLE_LINK1"/>
            <w:r w:rsidRPr="00F90A2E">
              <w:rPr>
                <w:rFonts w:ascii="宋体" w:hAnsi="宋体" w:hint="eastAsia"/>
                <w:sz w:val="24"/>
                <w:szCs w:val="24"/>
              </w:rPr>
              <w:t>主要受贸易战及欧美通胀影响，终端需求对价格敏感</w:t>
            </w:r>
            <w:bookmarkEnd w:id="2"/>
            <w:r w:rsidRPr="00F90A2E">
              <w:rPr>
                <w:rFonts w:ascii="宋体" w:hAnsi="宋体" w:hint="eastAsia"/>
                <w:sz w:val="24"/>
                <w:szCs w:val="24"/>
              </w:rPr>
              <w:t>；同时，为开拓</w:t>
            </w:r>
            <w:r w:rsidRPr="00F90A2E">
              <w:rPr>
                <w:rFonts w:ascii="宋体" w:hAnsi="宋体"/>
                <w:sz w:val="24"/>
                <w:szCs w:val="24"/>
              </w:rPr>
              <w:t>Top国家Top客户及自主品牌业务，销售费用相应增加。</w:t>
            </w:r>
            <w:r w:rsidRPr="00F90A2E">
              <w:rPr>
                <w:rFonts w:ascii="宋体" w:hAnsi="宋体" w:hint="eastAsia"/>
                <w:sz w:val="24"/>
                <w:szCs w:val="24"/>
              </w:rPr>
              <w:t>结合当前公司销售端呈现的改善趋势，后续利润端也有望同步改善。</w:t>
            </w:r>
          </w:p>
          <w:bookmarkEnd w:id="0"/>
          <w:p w14:paraId="28FDBF35" w14:textId="77777777" w:rsidR="00D9163D" w:rsidRPr="00F90A2E" w:rsidRDefault="00D9163D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2DA273D" w14:textId="77777777" w:rsidR="00B2687D" w:rsidRPr="00F90A2E" w:rsidRDefault="00B2687D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二、问答</w:t>
            </w:r>
          </w:p>
          <w:p w14:paraId="07D2FD05" w14:textId="7DA8E15A" w:rsidR="00B2687D" w:rsidRPr="00F90A2E" w:rsidRDefault="00B2687D" w:rsidP="00DA03CC">
            <w:pPr>
              <w:spacing w:line="360" w:lineRule="auto"/>
              <w:ind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公司对相关问题进行了梳理，主要问题及答复如下：</w:t>
            </w:r>
          </w:p>
          <w:p w14:paraId="435B164B" w14:textId="68DAA9F3" w:rsidR="00B2687D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请展望四季度及明年订单趋势？</w:t>
            </w:r>
          </w:p>
          <w:p w14:paraId="4238CD6A" w14:textId="5ECBAF12" w:rsidR="00B206B9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8月以来，</w:t>
            </w:r>
            <w:bookmarkStart w:id="3" w:name="OLE_LINK11"/>
            <w:r w:rsidR="00DA03CC" w:rsidRPr="00F90A2E">
              <w:rPr>
                <w:rFonts w:ascii="宋体" w:eastAsia="宋体" w:hAnsi="宋体"/>
                <w:sz w:val="24"/>
                <w:szCs w:val="24"/>
              </w:rPr>
              <w:t>关税政策的不确定性总体上有所降低，美国渠道商采购逐渐趋于正常化，</w:t>
            </w:r>
            <w:bookmarkEnd w:id="3"/>
            <w:r w:rsidR="00DA03CC" w:rsidRPr="00F90A2E">
              <w:rPr>
                <w:rFonts w:ascii="宋体" w:eastAsia="宋体" w:hAnsi="宋体"/>
                <w:sz w:val="24"/>
                <w:szCs w:val="24"/>
              </w:rPr>
              <w:t>前期暂停或延迟的订单开始回补，三季度销售收入已有所反映、环比增长9.82%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bookmarkStart w:id="4" w:name="OLE_LINK12"/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目前在手订单改善</w:t>
            </w:r>
            <w:r w:rsidR="00DB058B" w:rsidRPr="00F90A2E">
              <w:rPr>
                <w:rFonts w:ascii="宋体" w:eastAsia="宋体" w:hAnsi="宋体" w:hint="eastAsia"/>
                <w:sz w:val="24"/>
                <w:szCs w:val="24"/>
              </w:rPr>
              <w:t>明显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bookmarkEnd w:id="4"/>
            <w:r w:rsidR="00DA03CC" w:rsidRPr="00F90A2E">
              <w:rPr>
                <w:rFonts w:ascii="宋体" w:eastAsia="宋体" w:hAnsi="宋体"/>
                <w:sz w:val="24"/>
                <w:szCs w:val="24"/>
              </w:rPr>
              <w:t>同时，随着</w:t>
            </w:r>
            <w:bookmarkStart w:id="5" w:name="OLE_LINK4"/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关税政策不确定性的降低</w:t>
            </w:r>
            <w:bookmarkEnd w:id="5"/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以及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美国减税降息效果逐步体现，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美国终端需求以及渠道商备库需求均有望改善，我们对四季度及明年的业务增长充满信心。</w:t>
            </w:r>
          </w:p>
          <w:p w14:paraId="3F727400" w14:textId="0845C148" w:rsidR="00DA03CC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2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三季度毛利率下降的原因及后续展望？</w:t>
            </w:r>
          </w:p>
          <w:p w14:paraId="74BE93C2" w14:textId="7A571288" w:rsidR="00DA03CC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三季度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毛利率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同比有所下降，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主要原因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为受贸易战及欧美通胀粘性影响，终端需求对价格敏感。随着关税政策不确定性的降低以及减税降息效果逐步体现，终端需求有望提振，订单有望增长，规模效应相应增加；同时，公司持续推进研发创新、通过差异化产品提升溢价水平，并不断深化精益运营、降本增效，毛利率有望改善。</w:t>
            </w:r>
          </w:p>
          <w:p w14:paraId="62CFD085" w14:textId="22C1965C" w:rsidR="00DA03CC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今年以来内销自主品牌业务的盈利情况如何？产品价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格带变化趋势如何？</w:t>
            </w:r>
          </w:p>
          <w:p w14:paraId="3A0FF72D" w14:textId="7E75C404" w:rsidR="00B206B9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B76459">
              <w:rPr>
                <w:rFonts w:ascii="宋体" w:eastAsia="宋体" w:hAnsi="宋体" w:hint="eastAsia"/>
                <w:sz w:val="24"/>
                <w:szCs w:val="24"/>
              </w:rPr>
              <w:t>今年以来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内销自主品牌业务同比增长较快，盈利能力明显改善。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Flow 系列高端产品市场影响力不断提升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，在自主品牌业务中的销售占比明显提高，客单价相应提升；围绕核心爆品持续做好流量入口管理和精细化运营，运营质量明显改善，同时持续优化市场营销费用投放结构、提高投放效率，有效助推盈利改善。</w:t>
            </w:r>
          </w:p>
          <w:p w14:paraId="572764EE" w14:textId="0E740B78" w:rsidR="00DA03CC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今年以来公司新客户开拓情况如何？</w:t>
            </w:r>
          </w:p>
          <w:p w14:paraId="1D57D5AE" w14:textId="4B78B8BC" w:rsidR="00DA03CC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公司坚持“数一数二”市场战略不动摇，积极推进大客户价值营销全覆盖，不断开拓新市场、新客户。一方面，积极发挥海外基地优势，在新一轮全球订单转移背景下积极开拓新客户，今年以来顺利推进与多个重要新客户接触洽谈，随着美国市场需求回暖，新客户贡献有望显现。另一方面，大力开拓非美市场，进一步加大对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TOP国家TOP客户的洞察和开拓力度，梳理目标客户清单，逐一建立联系并进行拜访，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前三季度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公司在欧洲、东南亚、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中东、南美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等区域增速较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快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，也反映出近年来新市场新客户开拓的积极成效。后续公司将进一步加大新客户开拓力度，不断提升市场覆盖面和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占有率。</w:t>
            </w:r>
          </w:p>
          <w:p w14:paraId="4DAD382C" w14:textId="3BB00E21" w:rsidR="00DA03CC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越南产能是否能覆盖美国订单？</w:t>
            </w:r>
          </w:p>
          <w:p w14:paraId="0950C029" w14:textId="20CF96D6" w:rsidR="00DA03CC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越南基地产能可以覆盖全部对美订单，在当前国际贸易摩擦风险进一步加大、欧美客户加快订单转移的背景下，公司依托越南基地先发优势有望获得更多市场份额。</w:t>
            </w:r>
          </w:p>
          <w:p w14:paraId="79E8A601" w14:textId="4ED21AB8" w:rsidR="00DA03CC" w:rsidRPr="00F90A2E" w:rsidRDefault="002F369F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90A2E"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  <w:r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DA03CC" w:rsidRPr="00F90A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升降桌业务今年表现如何？</w:t>
            </w:r>
          </w:p>
          <w:p w14:paraId="6D356EA5" w14:textId="28E89D35" w:rsidR="00DA03CC" w:rsidRPr="00F90A2E" w:rsidRDefault="002F369F" w:rsidP="00DA03CC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F90A2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前三季度升降桌业务增长较快，但与年初目标存在一定差距，主要系外销市场需求减弱的共性问题。8月以来，随着</w:t>
            </w:r>
            <w:r w:rsidR="00DA03CC" w:rsidRPr="00F90A2E">
              <w:rPr>
                <w:rFonts w:ascii="宋体" w:eastAsia="宋体" w:hAnsi="宋体"/>
                <w:sz w:val="24"/>
                <w:szCs w:val="24"/>
              </w:rPr>
              <w:t>关税政策不确定性有所降低，美国渠道商采购逐渐趋于正常化，</w:t>
            </w:r>
            <w:r w:rsidR="00DA03CC" w:rsidRPr="00F90A2E">
              <w:rPr>
                <w:rFonts w:ascii="宋体" w:eastAsia="宋体" w:hAnsi="宋体" w:hint="eastAsia"/>
                <w:sz w:val="24"/>
                <w:szCs w:val="24"/>
              </w:rPr>
              <w:t>同时新客户加快导入，订单持续改善。</w:t>
            </w:r>
          </w:p>
          <w:p w14:paraId="4EB71511" w14:textId="77777777" w:rsidR="006F5D87" w:rsidRPr="00F90A2E" w:rsidRDefault="006F5D87" w:rsidP="00DA03CC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</w:pPr>
          </w:p>
          <w:p w14:paraId="0B7556E3" w14:textId="19FB09E3" w:rsidR="00BE3855" w:rsidRPr="00F90A2E" w:rsidRDefault="00BE3855" w:rsidP="00DA03CC">
            <w:pPr>
              <w:spacing w:line="360" w:lineRule="auto"/>
              <w:ind w:firstLine="480"/>
              <w:rPr>
                <w:rFonts w:ascii="宋体" w:eastAsia="宋体" w:hAnsi="宋体" w:cs="宋体"/>
                <w:iCs/>
                <w:color w:val="FF0000"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iCs/>
                <w:sz w:val="24"/>
                <w:szCs w:val="24"/>
              </w:rPr>
              <w:t>注：本次投资者活动如涉及对行业的预测、公司发展战略</w:t>
            </w:r>
            <w:r w:rsidRPr="00F90A2E">
              <w:rPr>
                <w:rFonts w:ascii="宋体" w:eastAsia="宋体" w:hAnsi="宋体" w:cs="宋体" w:hint="eastAsia"/>
                <w:iCs/>
                <w:sz w:val="24"/>
                <w:szCs w:val="24"/>
              </w:rPr>
              <w:lastRenderedPageBreak/>
              <w:t>规划等相关内容，不能视作公司或管理层对行业、公司发展或业绩的承诺和保证，敬请广大投资者注意投资风险。</w:t>
            </w:r>
          </w:p>
        </w:tc>
      </w:tr>
      <w:tr w:rsidR="00BE3855" w:rsidRPr="00F90A2E" w14:paraId="442AECCF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8781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1FC7" w14:textId="77777777" w:rsidR="00BE3855" w:rsidRPr="00F90A2E" w:rsidRDefault="00BE3855" w:rsidP="009E0F58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90A2E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BE3855" w:rsidRPr="00F90A2E" w14:paraId="009EC0FC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A108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95F5" w14:textId="77777777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E3855" w:rsidRPr="00F90A2E" w14:paraId="2376C93E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2304" w14:textId="77777777" w:rsidR="00BE3855" w:rsidRPr="00F90A2E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3561" w14:textId="0A39CC3A" w:rsidR="00BE3855" w:rsidRPr="00F90A2E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</w:t>
            </w:r>
            <w:r w:rsidR="0008301E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BD7014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10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BD7014" w:rsidRPr="00F90A2E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28</w:t>
            </w:r>
            <w:r w:rsidRPr="00F90A2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35F50A0A" w14:textId="77777777" w:rsidR="00BE3855" w:rsidRDefault="00BE3855">
      <w:pPr>
        <w:ind w:firstLine="640"/>
      </w:pPr>
    </w:p>
    <w:sectPr w:rsidR="00BE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763B" w14:textId="77777777" w:rsidR="00D53C35" w:rsidRDefault="00D53C35" w:rsidP="00EC4E7D">
      <w:pPr>
        <w:spacing w:line="240" w:lineRule="auto"/>
        <w:ind w:firstLine="640"/>
      </w:pPr>
      <w:r>
        <w:separator/>
      </w:r>
    </w:p>
  </w:endnote>
  <w:endnote w:type="continuationSeparator" w:id="0">
    <w:p w14:paraId="2B32F34E" w14:textId="77777777" w:rsidR="00D53C35" w:rsidRDefault="00D53C35" w:rsidP="00EC4E7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49F9" w14:textId="77777777" w:rsidR="00EC4E7D" w:rsidRDefault="00EC4E7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8B3D" w14:textId="77777777" w:rsidR="00EC4E7D" w:rsidRDefault="00EC4E7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6A34" w14:textId="77777777" w:rsidR="00EC4E7D" w:rsidRDefault="00EC4E7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CBA3" w14:textId="77777777" w:rsidR="00D53C35" w:rsidRDefault="00D53C35" w:rsidP="00EC4E7D">
      <w:pPr>
        <w:spacing w:line="240" w:lineRule="auto"/>
        <w:ind w:firstLine="640"/>
      </w:pPr>
      <w:r>
        <w:separator/>
      </w:r>
    </w:p>
  </w:footnote>
  <w:footnote w:type="continuationSeparator" w:id="0">
    <w:p w14:paraId="73D1764D" w14:textId="77777777" w:rsidR="00D53C35" w:rsidRDefault="00D53C35" w:rsidP="00EC4E7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0015" w14:textId="77777777" w:rsidR="00EC4E7D" w:rsidRDefault="00EC4E7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E568" w14:textId="77777777" w:rsidR="00EC4E7D" w:rsidRPr="00EC4E7D" w:rsidRDefault="00EC4E7D" w:rsidP="00EC4E7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E7CA" w14:textId="77777777" w:rsidR="00EC4E7D" w:rsidRDefault="00EC4E7D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0FDE"/>
    <w:multiLevelType w:val="hybridMultilevel"/>
    <w:tmpl w:val="D1F66F84"/>
    <w:lvl w:ilvl="0" w:tplc="B364A13E">
      <w:start w:val="1"/>
      <w:numFmt w:val="decimal"/>
      <w:lvlText w:val="%1."/>
      <w:lvlJc w:val="left"/>
      <w:pPr>
        <w:ind w:left="420" w:hanging="420"/>
      </w:pPr>
      <w:rPr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5"/>
    <w:rsid w:val="000200E3"/>
    <w:rsid w:val="0004393E"/>
    <w:rsid w:val="0008301E"/>
    <w:rsid w:val="001139D3"/>
    <w:rsid w:val="00176C93"/>
    <w:rsid w:val="00271A4B"/>
    <w:rsid w:val="00281D43"/>
    <w:rsid w:val="002A7359"/>
    <w:rsid w:val="002F2859"/>
    <w:rsid w:val="002F369F"/>
    <w:rsid w:val="00403218"/>
    <w:rsid w:val="00474899"/>
    <w:rsid w:val="0048163C"/>
    <w:rsid w:val="00481D8E"/>
    <w:rsid w:val="004D5A29"/>
    <w:rsid w:val="004E6CE0"/>
    <w:rsid w:val="0054029A"/>
    <w:rsid w:val="005D688D"/>
    <w:rsid w:val="005E2787"/>
    <w:rsid w:val="005F5537"/>
    <w:rsid w:val="005F5D0C"/>
    <w:rsid w:val="005F5E88"/>
    <w:rsid w:val="006F5D87"/>
    <w:rsid w:val="00706CDB"/>
    <w:rsid w:val="00791294"/>
    <w:rsid w:val="007B425F"/>
    <w:rsid w:val="0080594E"/>
    <w:rsid w:val="00887E75"/>
    <w:rsid w:val="00896329"/>
    <w:rsid w:val="008E1744"/>
    <w:rsid w:val="008E5ADA"/>
    <w:rsid w:val="00993A33"/>
    <w:rsid w:val="009B24F1"/>
    <w:rsid w:val="009B4A01"/>
    <w:rsid w:val="009B4B75"/>
    <w:rsid w:val="009C5C29"/>
    <w:rsid w:val="009D1672"/>
    <w:rsid w:val="00A0150D"/>
    <w:rsid w:val="00A33C1D"/>
    <w:rsid w:val="00B206B9"/>
    <w:rsid w:val="00B2687D"/>
    <w:rsid w:val="00B3223E"/>
    <w:rsid w:val="00B34545"/>
    <w:rsid w:val="00B510A0"/>
    <w:rsid w:val="00B75E9B"/>
    <w:rsid w:val="00B76459"/>
    <w:rsid w:val="00B9475B"/>
    <w:rsid w:val="00BA6A64"/>
    <w:rsid w:val="00BB3E8A"/>
    <w:rsid w:val="00BD7014"/>
    <w:rsid w:val="00BE3855"/>
    <w:rsid w:val="00CD08EF"/>
    <w:rsid w:val="00D52B7B"/>
    <w:rsid w:val="00D53C35"/>
    <w:rsid w:val="00D90135"/>
    <w:rsid w:val="00D9163D"/>
    <w:rsid w:val="00DA03CC"/>
    <w:rsid w:val="00DB058B"/>
    <w:rsid w:val="00E04295"/>
    <w:rsid w:val="00EC4E7D"/>
    <w:rsid w:val="00F15142"/>
    <w:rsid w:val="00F663DE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C0E48"/>
  <w15:chartTrackingRefBased/>
  <w15:docId w15:val="{7A61DA77-9FD2-4656-B798-5CC404C1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55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55"/>
    <w:pPr>
      <w:spacing w:line="240" w:lineRule="auto"/>
      <w:ind w:firstLine="420"/>
    </w:pPr>
    <w:rPr>
      <w:rFonts w:eastAsia="宋体"/>
      <w:sz w:val="21"/>
    </w:rPr>
  </w:style>
  <w:style w:type="paragraph" w:styleId="a4">
    <w:name w:val="header"/>
    <w:basedOn w:val="a"/>
    <w:link w:val="a5"/>
    <w:uiPriority w:val="99"/>
    <w:unhideWhenUsed/>
    <w:rsid w:val="00EC4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4E7D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4E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4E7D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1059</Words>
  <Characters>1769</Characters>
  <Application>Microsoft Office Word</Application>
  <DocSecurity>0</DocSecurity>
  <Lines>252</Lines>
  <Paragraphs>217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4</cp:revision>
  <dcterms:created xsi:type="dcterms:W3CDTF">2025-10-28T14:59:00Z</dcterms:created>
  <dcterms:modified xsi:type="dcterms:W3CDTF">2025-10-28T15:30:00Z</dcterms:modified>
</cp:coreProperties>
</file>