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D77C" w14:textId="77777777" w:rsidR="00BA7C14" w:rsidRDefault="00000000">
      <w:pPr>
        <w:pStyle w:val="1"/>
        <w:rPr>
          <w:rFonts w:ascii="宋体" w:eastAsia="宋体" w:hAnsi="宋体" w:cs="宋体" w:hint="eastAsia"/>
          <w:sz w:val="24"/>
          <w:szCs w:val="24"/>
          <w:lang w:val="en-US"/>
        </w:rPr>
      </w:pPr>
      <w:r>
        <w:rPr>
          <w:rFonts w:ascii="宋体" w:eastAsia="宋体" w:hAnsi="宋体" w:cs="宋体" w:hint="eastAsia"/>
          <w:sz w:val="24"/>
          <w:szCs w:val="24"/>
          <w:lang w:val="en-US"/>
        </w:rPr>
        <w:t>证券代码：600153                                  证券简称：建发股份</w:t>
      </w:r>
    </w:p>
    <w:p w14:paraId="1D81481B" w14:textId="77777777" w:rsidR="00BA7C14" w:rsidRDefault="00BA7C14">
      <w:pPr>
        <w:spacing w:line="360" w:lineRule="auto"/>
        <w:jc w:val="center"/>
        <w:rPr>
          <w:rFonts w:ascii="宋体" w:eastAsia="宋体" w:hAnsi="宋体" w:cs="宋体" w:hint="eastAsia"/>
          <w:b/>
          <w:bCs/>
          <w:sz w:val="24"/>
          <w:szCs w:val="24"/>
        </w:rPr>
      </w:pPr>
    </w:p>
    <w:p w14:paraId="3429A03F" w14:textId="77777777" w:rsidR="00BA7C14"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厦门建发股份有限公司</w:t>
      </w:r>
    </w:p>
    <w:p w14:paraId="5691C55C" w14:textId="77777777" w:rsidR="00BA7C14" w:rsidRDefault="00000000">
      <w:pPr>
        <w:spacing w:line="360" w:lineRule="auto"/>
        <w:jc w:val="center"/>
        <w:rPr>
          <w:rFonts w:ascii="宋体" w:eastAsia="宋体" w:hAnsi="宋体" w:cs="宋体" w:hint="eastAsia"/>
          <w:sz w:val="24"/>
          <w:szCs w:val="24"/>
          <w:lang w:val="en-US"/>
        </w:rPr>
      </w:pPr>
      <w:r>
        <w:rPr>
          <w:rFonts w:ascii="宋体" w:eastAsia="宋体" w:hAnsi="宋体" w:cs="宋体" w:hint="eastAsia"/>
          <w:b/>
          <w:bCs/>
          <w:sz w:val="32"/>
          <w:szCs w:val="32"/>
        </w:rPr>
        <w:t>投资者关系活动记录表</w:t>
      </w:r>
    </w:p>
    <w:tbl>
      <w:tblPr>
        <w:tblW w:w="8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61"/>
        <w:gridCol w:w="6320"/>
      </w:tblGrid>
      <w:tr w:rsidR="00BA7C14" w14:paraId="04E9C6C6" w14:textId="77777777">
        <w:trPr>
          <w:trHeight w:val="1744"/>
          <w:jc w:val="center"/>
        </w:trPr>
        <w:tc>
          <w:tcPr>
            <w:tcW w:w="1961" w:type="dxa"/>
          </w:tcPr>
          <w:p w14:paraId="52B7B64A" w14:textId="77777777" w:rsidR="00BA7C14" w:rsidRDefault="00BA7C14">
            <w:pPr>
              <w:pStyle w:val="TableParagraph"/>
              <w:spacing w:before="7"/>
              <w:rPr>
                <w:rFonts w:ascii="宋体" w:eastAsia="宋体" w:hAnsi="宋体" w:cs="宋体" w:hint="eastAsia"/>
                <w:b/>
                <w:bCs/>
                <w:sz w:val="24"/>
                <w:szCs w:val="24"/>
              </w:rPr>
            </w:pPr>
          </w:p>
          <w:p w14:paraId="60EEF3A0" w14:textId="77777777" w:rsidR="00BA7C14"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6320" w:type="dxa"/>
          </w:tcPr>
          <w:p w14:paraId="770851F5" w14:textId="77777777" w:rsidR="00BA7C14"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Pr>
                    <w:rFonts w:ascii="MS Gothic" w:eastAsia="宋体" w:hAnsi="MS Gothic" w:cs="Segoe UI Symbol"/>
                    <w:sz w:val="24"/>
                    <w:szCs w:val="24"/>
                  </w:rPr>
                  <w:t>☐</w:t>
                </w:r>
              </w:sdtContent>
            </w:sdt>
            <w:r>
              <w:rPr>
                <w:rFonts w:ascii="宋体" w:eastAsia="宋体" w:hAnsi="宋体" w:cs="宋体" w:hint="eastAsia"/>
                <w:sz w:val="24"/>
                <w:szCs w:val="24"/>
              </w:rPr>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1721F1F4" w14:textId="77777777" w:rsidR="00BA7C14"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媒</w:t>
            </w:r>
            <w:r>
              <w:rPr>
                <w:rFonts w:ascii="宋体" w:eastAsia="宋体" w:hAnsi="宋体" w:cs="宋体" w:hint="eastAsia"/>
                <w:spacing w:val="-3"/>
                <w:sz w:val="24"/>
                <w:szCs w:val="24"/>
              </w:rPr>
              <w:t>体</w:t>
            </w:r>
            <w:r>
              <w:rPr>
                <w:rFonts w:ascii="宋体" w:eastAsia="宋体" w:hAnsi="宋体" w:cs="宋体" w:hint="eastAsia"/>
                <w:sz w:val="24"/>
                <w:szCs w:val="24"/>
              </w:rPr>
              <w:t>采访</w:t>
            </w:r>
            <w:r>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Content>
                <w:r>
                  <w:rPr>
                    <w:rFonts w:ascii="MS Gothic" w:eastAsia="宋体" w:hAnsi="MS Gothic" w:cs="宋体" w:hint="eastAsia"/>
                    <w:sz w:val="24"/>
                    <w:szCs w:val="24"/>
                  </w:rPr>
                  <w:t>☐</w:t>
                </w:r>
              </w:sdtContent>
            </w:sdt>
            <w:r>
              <w:rPr>
                <w:rFonts w:ascii="宋体" w:eastAsia="宋体" w:hAnsi="宋体" w:cs="宋体" w:hint="eastAsia"/>
                <w:sz w:val="24"/>
                <w:szCs w:val="24"/>
              </w:rPr>
              <w:t>业</w:t>
            </w:r>
            <w:r>
              <w:rPr>
                <w:rFonts w:ascii="宋体" w:eastAsia="宋体" w:hAnsi="宋体" w:cs="宋体" w:hint="eastAsia"/>
                <w:spacing w:val="-3"/>
                <w:sz w:val="24"/>
                <w:szCs w:val="24"/>
              </w:rPr>
              <w:t>绩</w:t>
            </w:r>
            <w:r>
              <w:rPr>
                <w:rFonts w:ascii="宋体" w:eastAsia="宋体" w:hAnsi="宋体" w:cs="宋体" w:hint="eastAsia"/>
                <w:sz w:val="24"/>
                <w:szCs w:val="24"/>
              </w:rPr>
              <w:t>说</w:t>
            </w:r>
            <w:r>
              <w:rPr>
                <w:rFonts w:ascii="宋体" w:eastAsia="宋体" w:hAnsi="宋体" w:cs="宋体" w:hint="eastAsia"/>
                <w:spacing w:val="-3"/>
                <w:sz w:val="24"/>
                <w:szCs w:val="24"/>
              </w:rPr>
              <w:t>明</w:t>
            </w:r>
            <w:r>
              <w:rPr>
                <w:rFonts w:ascii="宋体" w:eastAsia="宋体" w:hAnsi="宋体" w:cs="宋体" w:hint="eastAsia"/>
                <w:sz w:val="24"/>
                <w:szCs w:val="24"/>
              </w:rPr>
              <w:t>会</w:t>
            </w:r>
          </w:p>
          <w:p w14:paraId="548591C3" w14:textId="77777777" w:rsidR="00BA7C14"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新</w:t>
            </w:r>
            <w:r>
              <w:rPr>
                <w:rFonts w:ascii="宋体" w:eastAsia="宋体" w:hAnsi="宋体" w:cs="宋体" w:hint="eastAsia"/>
                <w:spacing w:val="-3"/>
                <w:sz w:val="24"/>
                <w:szCs w:val="24"/>
              </w:rPr>
              <w:t>闻</w:t>
            </w:r>
            <w:r>
              <w:rPr>
                <w:rFonts w:ascii="宋体" w:eastAsia="宋体" w:hAnsi="宋体" w:cs="宋体" w:hint="eastAsia"/>
                <w:sz w:val="24"/>
                <w:szCs w:val="24"/>
              </w:rPr>
              <w:t>发</w:t>
            </w:r>
            <w:r>
              <w:rPr>
                <w:rFonts w:ascii="宋体" w:eastAsia="宋体" w:hAnsi="宋体" w:cs="宋体" w:hint="eastAsia"/>
                <w:spacing w:val="-3"/>
                <w:sz w:val="24"/>
                <w:szCs w:val="24"/>
              </w:rPr>
              <w:t>布</w:t>
            </w:r>
            <w:r>
              <w:rPr>
                <w:rFonts w:ascii="宋体" w:eastAsia="宋体" w:hAnsi="宋体" w:cs="宋体" w:hint="eastAsia"/>
                <w:sz w:val="24"/>
                <w:szCs w:val="24"/>
              </w:rPr>
              <w:t>会</w:t>
            </w:r>
            <w:r>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路</w:t>
            </w:r>
            <w:r>
              <w:rPr>
                <w:rFonts w:ascii="宋体" w:eastAsia="宋体" w:hAnsi="宋体" w:cs="宋体" w:hint="eastAsia"/>
                <w:spacing w:val="-3"/>
                <w:sz w:val="24"/>
                <w:szCs w:val="24"/>
              </w:rPr>
              <w:t>演</w:t>
            </w:r>
            <w:r>
              <w:rPr>
                <w:rFonts w:ascii="宋体" w:eastAsia="宋体" w:hAnsi="宋体" w:cs="宋体" w:hint="eastAsia"/>
                <w:sz w:val="24"/>
                <w:szCs w:val="24"/>
              </w:rPr>
              <w:t>活动</w:t>
            </w:r>
          </w:p>
          <w:p w14:paraId="1F0357FD" w14:textId="77777777" w:rsidR="00BA7C14"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现场参观</w:t>
            </w:r>
          </w:p>
          <w:p w14:paraId="3130DB18" w14:textId="77777777" w:rsidR="00BA7C14"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其他（</w:t>
            </w:r>
            <w:r>
              <w:rPr>
                <w:rFonts w:ascii="宋体" w:eastAsia="宋体" w:hAnsi="宋体" w:cs="宋体" w:hint="eastAsia"/>
                <w:sz w:val="24"/>
                <w:szCs w:val="24"/>
                <w:u w:val="single"/>
              </w:rPr>
              <w:t>请文字说明其他活动内容）</w:t>
            </w:r>
          </w:p>
        </w:tc>
      </w:tr>
      <w:tr w:rsidR="00BA7C14" w14:paraId="47B61A15" w14:textId="77777777">
        <w:trPr>
          <w:trHeight w:val="528"/>
          <w:jc w:val="center"/>
        </w:trPr>
        <w:tc>
          <w:tcPr>
            <w:tcW w:w="1961" w:type="dxa"/>
            <w:vAlign w:val="center"/>
          </w:tcPr>
          <w:p w14:paraId="3E0559E1" w14:textId="77777777" w:rsidR="00BA7C14" w:rsidRDefault="00000000">
            <w:pPr>
              <w:pStyle w:val="TableParagraph"/>
              <w:spacing w:line="360" w:lineRule="auto"/>
              <w:ind w:left="108" w:right="96"/>
              <w:rPr>
                <w:rFonts w:ascii="宋体" w:eastAsia="宋体" w:hAnsi="宋体" w:cs="宋体" w:hint="eastAsia"/>
                <w:b/>
                <w:bCs/>
                <w:sz w:val="24"/>
                <w:szCs w:val="24"/>
              </w:rPr>
            </w:pPr>
            <w:r>
              <w:rPr>
                <w:rFonts w:ascii="宋体" w:eastAsia="宋体" w:hAnsi="宋体" w:cs="宋体" w:hint="eastAsia"/>
                <w:b/>
                <w:bCs/>
                <w:sz w:val="24"/>
                <w:szCs w:val="24"/>
              </w:rPr>
              <w:t>机构名称</w:t>
            </w:r>
          </w:p>
        </w:tc>
        <w:tc>
          <w:tcPr>
            <w:tcW w:w="6320" w:type="dxa"/>
            <w:vAlign w:val="center"/>
          </w:tcPr>
          <w:p w14:paraId="2D592F3E" w14:textId="77777777" w:rsidR="00BA7C14" w:rsidRDefault="00000000">
            <w:pPr>
              <w:pStyle w:val="TableParagraph"/>
              <w:spacing w:line="360" w:lineRule="auto"/>
              <w:jc w:val="both"/>
              <w:rPr>
                <w:rFonts w:ascii="宋体" w:eastAsia="宋体" w:hAnsi="宋体" w:cs="宋体" w:hint="eastAsia"/>
                <w:sz w:val="24"/>
                <w:szCs w:val="24"/>
              </w:rPr>
            </w:pPr>
            <w:r>
              <w:rPr>
                <w:rFonts w:ascii="宋体" w:eastAsia="宋体" w:hAnsi="宋体" w:cs="宋体"/>
                <w:sz w:val="24"/>
                <w:szCs w:val="24"/>
              </w:rPr>
              <w:t>详见附表。</w:t>
            </w:r>
          </w:p>
        </w:tc>
      </w:tr>
      <w:tr w:rsidR="00BA7C14" w14:paraId="531F85BF" w14:textId="77777777">
        <w:trPr>
          <w:trHeight w:val="272"/>
          <w:jc w:val="center"/>
        </w:trPr>
        <w:tc>
          <w:tcPr>
            <w:tcW w:w="1961" w:type="dxa"/>
            <w:vAlign w:val="center"/>
          </w:tcPr>
          <w:p w14:paraId="2DD165B3" w14:textId="77777777" w:rsidR="00BA7C14"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时间</w:t>
            </w:r>
          </w:p>
        </w:tc>
        <w:tc>
          <w:tcPr>
            <w:tcW w:w="6320" w:type="dxa"/>
            <w:vAlign w:val="center"/>
          </w:tcPr>
          <w:p w14:paraId="26A2CCD3" w14:textId="77777777" w:rsidR="00BA7C14" w:rsidRDefault="00000000">
            <w:pPr>
              <w:pStyle w:val="TableParagraph"/>
              <w:spacing w:line="360" w:lineRule="auto"/>
              <w:jc w:val="both"/>
              <w:rPr>
                <w:rFonts w:ascii="宋体" w:eastAsia="宋体" w:hAnsi="宋体" w:cs="宋体" w:hint="eastAsia"/>
                <w:sz w:val="24"/>
                <w:szCs w:val="24"/>
                <w:lang w:val="en-US"/>
              </w:rPr>
            </w:pPr>
            <w:r>
              <w:rPr>
                <w:rFonts w:ascii="宋体" w:eastAsia="宋体" w:hAnsi="宋体" w:cs="宋体"/>
                <w:sz w:val="24"/>
                <w:szCs w:val="24"/>
              </w:rPr>
              <w:t>2025年</w:t>
            </w:r>
            <w:r>
              <w:rPr>
                <w:rFonts w:ascii="宋体" w:eastAsia="宋体" w:hAnsi="宋体" w:cs="宋体" w:hint="eastAsia"/>
                <w:sz w:val="24"/>
                <w:szCs w:val="24"/>
                <w:lang w:val="en-US"/>
              </w:rPr>
              <w:t>9</w:t>
            </w:r>
            <w:r>
              <w:rPr>
                <w:rFonts w:ascii="宋体" w:eastAsia="宋体" w:hAnsi="宋体" w:cs="宋体"/>
                <w:sz w:val="24"/>
                <w:szCs w:val="24"/>
              </w:rPr>
              <w:t>月1日</w:t>
            </w:r>
            <w:r>
              <w:rPr>
                <w:rFonts w:ascii="宋体" w:eastAsia="宋体" w:hAnsi="宋体" w:cs="宋体" w:hint="eastAsia"/>
                <w:sz w:val="24"/>
                <w:szCs w:val="24"/>
                <w:lang w:val="en-US"/>
              </w:rPr>
              <w:t>至2025年9月30日</w:t>
            </w:r>
          </w:p>
        </w:tc>
      </w:tr>
      <w:tr w:rsidR="00BA7C14" w14:paraId="4D9D170B" w14:textId="77777777">
        <w:trPr>
          <w:trHeight w:val="340"/>
          <w:jc w:val="center"/>
        </w:trPr>
        <w:tc>
          <w:tcPr>
            <w:tcW w:w="1961" w:type="dxa"/>
            <w:vAlign w:val="center"/>
          </w:tcPr>
          <w:p w14:paraId="3D952AD1" w14:textId="77777777" w:rsidR="00BA7C14"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地点</w:t>
            </w:r>
          </w:p>
        </w:tc>
        <w:tc>
          <w:tcPr>
            <w:tcW w:w="6320" w:type="dxa"/>
            <w:vAlign w:val="center"/>
          </w:tcPr>
          <w:p w14:paraId="5989A4B5" w14:textId="77777777" w:rsidR="00BA7C14" w:rsidRDefault="00000000">
            <w:pPr>
              <w:pStyle w:val="TableParagraph"/>
              <w:spacing w:line="360" w:lineRule="auto"/>
              <w:jc w:val="both"/>
              <w:rPr>
                <w:rFonts w:ascii="宋体" w:eastAsia="宋体" w:hAnsi="宋体" w:cs="宋体" w:hint="eastAsia"/>
                <w:sz w:val="24"/>
                <w:szCs w:val="24"/>
              </w:rPr>
            </w:pPr>
            <w:r>
              <w:rPr>
                <w:rFonts w:ascii="宋体" w:eastAsia="宋体" w:hAnsi="宋体" w:cs="宋体" w:hint="eastAsia"/>
                <w:sz w:val="24"/>
                <w:szCs w:val="24"/>
              </w:rPr>
              <w:t>公司会议室、券商策略会现场</w:t>
            </w:r>
          </w:p>
        </w:tc>
      </w:tr>
      <w:tr w:rsidR="00BA7C14" w14:paraId="0BB7D542" w14:textId="77777777">
        <w:trPr>
          <w:trHeight w:val="895"/>
          <w:jc w:val="center"/>
        </w:trPr>
        <w:tc>
          <w:tcPr>
            <w:tcW w:w="1961" w:type="dxa"/>
            <w:vAlign w:val="center"/>
          </w:tcPr>
          <w:p w14:paraId="5B40C5CE" w14:textId="77777777" w:rsidR="00BA7C14" w:rsidRDefault="00000000">
            <w:pPr>
              <w:pStyle w:val="TableParagraph"/>
              <w:spacing w:before="1" w:line="360" w:lineRule="auto"/>
              <w:ind w:left="107"/>
              <w:rPr>
                <w:rFonts w:ascii="宋体" w:eastAsia="宋体" w:hAnsi="宋体" w:cs="宋体" w:hint="eastAsia"/>
                <w:b/>
                <w:bCs/>
                <w:sz w:val="24"/>
                <w:szCs w:val="24"/>
              </w:rPr>
            </w:pPr>
            <w:r>
              <w:rPr>
                <w:rFonts w:ascii="宋体" w:eastAsia="宋体" w:hAnsi="宋体" w:cs="宋体" w:hint="eastAsia"/>
                <w:b/>
                <w:bCs/>
                <w:sz w:val="24"/>
                <w:szCs w:val="24"/>
              </w:rPr>
              <w:t>上市公司接待人员姓名</w:t>
            </w:r>
          </w:p>
        </w:tc>
        <w:tc>
          <w:tcPr>
            <w:tcW w:w="6320" w:type="dxa"/>
            <w:vAlign w:val="center"/>
          </w:tcPr>
          <w:p w14:paraId="7B8D2B21" w14:textId="77777777" w:rsidR="00BA7C14"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副总经理兼董事会秘书 江桂芝女士</w:t>
            </w:r>
          </w:p>
          <w:p w14:paraId="57A06664" w14:textId="77777777" w:rsidR="00BA7C14"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证券事务代表 黄丽琼女士</w:t>
            </w:r>
          </w:p>
        </w:tc>
      </w:tr>
      <w:tr w:rsidR="00BA7C14" w14:paraId="4CE101DB" w14:textId="77777777">
        <w:trPr>
          <w:trHeight w:val="557"/>
          <w:jc w:val="center"/>
        </w:trPr>
        <w:tc>
          <w:tcPr>
            <w:tcW w:w="1961" w:type="dxa"/>
          </w:tcPr>
          <w:p w14:paraId="240967BD" w14:textId="77777777" w:rsidR="00BA7C14" w:rsidRDefault="00BA7C14">
            <w:pPr>
              <w:pStyle w:val="TableParagraph"/>
              <w:rPr>
                <w:rFonts w:ascii="宋体" w:eastAsia="宋体" w:hAnsi="宋体" w:cs="宋体" w:hint="eastAsia"/>
                <w:b/>
                <w:bCs/>
                <w:sz w:val="24"/>
                <w:szCs w:val="24"/>
              </w:rPr>
            </w:pPr>
          </w:p>
          <w:p w14:paraId="5EAA0121" w14:textId="77777777" w:rsidR="00BA7C14" w:rsidRDefault="00BA7C14">
            <w:pPr>
              <w:pStyle w:val="TableParagraph"/>
              <w:rPr>
                <w:rFonts w:ascii="宋体" w:eastAsia="宋体" w:hAnsi="宋体" w:cs="宋体" w:hint="eastAsia"/>
                <w:b/>
                <w:bCs/>
                <w:sz w:val="24"/>
                <w:szCs w:val="24"/>
              </w:rPr>
            </w:pPr>
          </w:p>
          <w:p w14:paraId="7190E571" w14:textId="77777777" w:rsidR="00BA7C14" w:rsidRDefault="00BA7C14">
            <w:pPr>
              <w:pStyle w:val="TableParagraph"/>
              <w:spacing w:before="5"/>
              <w:rPr>
                <w:rFonts w:ascii="宋体" w:eastAsia="宋体" w:hAnsi="宋体" w:cs="宋体" w:hint="eastAsia"/>
                <w:b/>
                <w:bCs/>
                <w:sz w:val="24"/>
                <w:szCs w:val="24"/>
              </w:rPr>
            </w:pPr>
          </w:p>
          <w:p w14:paraId="777271FC" w14:textId="77777777" w:rsidR="00BA7C14" w:rsidRDefault="00000000">
            <w:pPr>
              <w:pStyle w:val="TableParagraph"/>
              <w:spacing w:before="1" w:line="499" w:lineRule="auto"/>
              <w:ind w:left="107" w:right="96"/>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6320" w:type="dxa"/>
          </w:tcPr>
          <w:p w14:paraId="60866380" w14:textId="77777777" w:rsidR="00BA7C14" w:rsidRDefault="00BA7C1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45DACD74" w14:textId="23F5A286" w:rsidR="00BA7C14" w:rsidRDefault="007A131A">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1、公司供应链运营业务上半年经营相对稳健，其中有哪些品种表现较为突出？</w:t>
            </w:r>
          </w:p>
          <w:p w14:paraId="742D8947" w14:textId="77777777" w:rsidR="00BA7C14" w:rsidRPr="00D04C38"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w:t>
            </w:r>
            <w:r w:rsidRPr="00D04C38">
              <w:rPr>
                <w:rFonts w:ascii="宋体" w:eastAsia="宋体" w:hAnsi="宋体" w:cs="宋体" w:hint="eastAsia"/>
                <w:kern w:val="2"/>
                <w:sz w:val="24"/>
                <w:szCs w:val="24"/>
                <w:lang w:val="en-US" w:bidi="ar-SA"/>
                <w14:ligatures w14:val="standardContextual"/>
              </w:rPr>
              <w:t>2025年上半年公司供应链运营业务实现营业收入2,678亿元，同比增长约2%，同期实现归母净利润14.2亿元，同比基本持平。在宏观环境不确定性较高、核心品种价格下行的背景下，公司供应链运营业务业绩韧性突出。</w:t>
            </w:r>
          </w:p>
          <w:p w14:paraId="6D313B3F" w14:textId="77777777" w:rsidR="00BA7C14" w:rsidRDefault="00000000">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2025年上半年公司经营的黑色金属、有色金属、矿产品、农产品、浆纸、能源化工产品等主要大宗商品的经营货量约1.03亿吨、同比小幅增长。在经营总货量保持增长的同时，多个核心品类继续保持行业领先地位，其中：钢材经营货量超3,600万吨，同比增长超10%；农产品经营货量近1,700万吨，同比增长超6%。</w:t>
            </w:r>
          </w:p>
          <w:p w14:paraId="52296816" w14:textId="77777777" w:rsidR="00BA7C14" w:rsidRDefault="00000000">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sidRPr="00D04C38">
              <w:rPr>
                <w:rFonts w:ascii="宋体" w:eastAsia="宋体" w:hAnsi="宋体" w:cs="宋体" w:hint="eastAsia"/>
                <w:kern w:val="2"/>
                <w:sz w:val="24"/>
                <w:szCs w:val="24"/>
                <w:lang w:val="en-US" w:bidi="ar-SA"/>
                <w14:ligatures w14:val="standardContextual"/>
              </w:rPr>
              <w:t>此外，公司消费品业务板块亦延续稳健增长态势，成为公司供应链运营业务发展的重要驱动力。</w:t>
            </w:r>
            <w:r>
              <w:rPr>
                <w:rFonts w:ascii="宋体" w:eastAsia="宋体" w:hAnsi="宋体" w:cs="宋体" w:hint="eastAsia"/>
                <w:kern w:val="2"/>
                <w:sz w:val="24"/>
                <w:szCs w:val="24"/>
                <w:lang w:val="en-US" w:bidi="ar-SA"/>
                <w14:ligatures w14:val="standardContextual"/>
              </w:rPr>
              <w:t>2025年上半年，公司消费品业务的营业收入超240亿元，同比增速超20%，其</w:t>
            </w:r>
            <w:r>
              <w:rPr>
                <w:rFonts w:ascii="宋体" w:eastAsia="宋体" w:hAnsi="宋体" w:cs="宋体" w:hint="eastAsia"/>
                <w:kern w:val="2"/>
                <w:sz w:val="24"/>
                <w:szCs w:val="24"/>
                <w:lang w:val="en-US" w:bidi="ar-SA"/>
                <w14:ligatures w14:val="standardContextual"/>
              </w:rPr>
              <w:lastRenderedPageBreak/>
              <w:t>中轻纺板块营业收入超过95亿元，同比增长超35%；泛食品板块营业收入近40亿元，同比增长近25%，咖啡豆、乳制品等品类表现亮眼。</w:t>
            </w:r>
          </w:p>
          <w:p w14:paraId="071E0F74" w14:textId="77777777" w:rsidR="007A131A" w:rsidRDefault="007A131A">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p>
          <w:p w14:paraId="1C88FA13" w14:textId="5CA6F6DA" w:rsidR="00BA7C14" w:rsidRPr="00D8532A" w:rsidRDefault="007A131A">
            <w:pPr>
              <w:autoSpaceDE/>
              <w:autoSpaceDN/>
              <w:spacing w:line="360" w:lineRule="auto"/>
              <w:jc w:val="both"/>
              <w:rPr>
                <w:rFonts w:ascii="宋体" w:eastAsia="宋体" w:hAnsi="宋体" w:cs="宋体" w:hint="eastAsia"/>
                <w:b/>
                <w:bCs/>
                <w:kern w:val="2"/>
                <w:sz w:val="24"/>
                <w:szCs w:val="24"/>
                <w:lang w:val="en-US" w:bidi="ar-SA"/>
                <w14:ligatures w14:val="standardContextual"/>
              </w:rPr>
            </w:pPr>
            <w:r w:rsidRPr="00D8532A">
              <w:rPr>
                <w:rFonts w:ascii="宋体" w:eastAsia="宋体" w:hAnsi="宋体" w:cs="宋体" w:hint="eastAsia"/>
                <w:b/>
                <w:bCs/>
                <w:kern w:val="2"/>
                <w:sz w:val="24"/>
                <w:szCs w:val="24"/>
                <w:lang w:val="en-US" w:bidi="ar-SA"/>
                <w14:ligatures w14:val="standardContextual"/>
              </w:rPr>
              <w:t>2.请问公司2025年度现金分红预期是否维持不变？</w:t>
            </w:r>
          </w:p>
          <w:p w14:paraId="524097C2" w14:textId="73D8E4CD" w:rsidR="007A131A" w:rsidRDefault="007A131A" w:rsidP="007A131A">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7A131A">
              <w:rPr>
                <w:rFonts w:ascii="宋体" w:eastAsia="宋体" w:hAnsi="宋体" w:cs="宋体" w:hint="eastAsia"/>
                <w:kern w:val="2"/>
                <w:sz w:val="24"/>
                <w:szCs w:val="24"/>
                <w:lang w:val="en-US" w:bidi="ar-SA"/>
                <w14:ligatures w14:val="standardContextual"/>
              </w:rPr>
              <w:t>公司在2024年第二次临时股东大会通过的《关于交易完成后增强股东回报规划的议案》中，对2025年度的利润分配</w:t>
            </w:r>
            <w:r>
              <w:rPr>
                <w:rFonts w:ascii="宋体" w:eastAsia="宋体" w:hAnsi="宋体" w:cs="宋体" w:hint="eastAsia"/>
                <w:kern w:val="2"/>
                <w:sz w:val="24"/>
                <w:szCs w:val="24"/>
                <w:lang w:val="en-US" w:bidi="ar-SA"/>
                <w14:ligatures w14:val="standardContextual"/>
              </w:rPr>
              <w:t>计划已经</w:t>
            </w:r>
            <w:r w:rsidRPr="007A131A">
              <w:rPr>
                <w:rFonts w:ascii="宋体" w:eastAsia="宋体" w:hAnsi="宋体" w:cs="宋体" w:hint="eastAsia"/>
                <w:kern w:val="2"/>
                <w:sz w:val="24"/>
                <w:szCs w:val="24"/>
                <w:lang w:val="en-US" w:bidi="ar-SA"/>
                <w14:ligatures w14:val="standardContextual"/>
              </w:rPr>
              <w:t>作出安排</w:t>
            </w:r>
            <w:r>
              <w:rPr>
                <w:rFonts w:ascii="宋体" w:eastAsia="宋体" w:hAnsi="宋体" w:cs="宋体" w:hint="eastAsia"/>
                <w:kern w:val="2"/>
                <w:sz w:val="24"/>
                <w:szCs w:val="24"/>
                <w:lang w:val="en-US" w:bidi="ar-SA"/>
                <w14:ligatures w14:val="standardContextual"/>
              </w:rPr>
              <w:t>，并已经通过公告文件公开承诺</w:t>
            </w:r>
            <w:r w:rsidRPr="007A131A">
              <w:rPr>
                <w:rFonts w:ascii="宋体" w:eastAsia="宋体" w:hAnsi="宋体" w:cs="宋体" w:hint="eastAsia"/>
                <w:kern w:val="2"/>
                <w:sz w:val="24"/>
                <w:szCs w:val="24"/>
                <w:lang w:val="en-US" w:bidi="ar-SA"/>
                <w14:ligatures w14:val="standardContextual"/>
              </w:rPr>
              <w:t>：</w:t>
            </w:r>
            <w:r>
              <w:rPr>
                <w:rFonts w:ascii="宋体" w:eastAsia="宋体" w:hAnsi="宋体" w:cs="宋体" w:hint="eastAsia"/>
                <w:kern w:val="2"/>
                <w:sz w:val="24"/>
                <w:szCs w:val="24"/>
                <w:lang w:val="en-US" w:bidi="ar-SA"/>
                <w14:ligatures w14:val="standardContextual"/>
              </w:rPr>
              <w:t>2025年度</w:t>
            </w:r>
            <w:r w:rsidRPr="007A131A">
              <w:rPr>
                <w:rFonts w:ascii="宋体" w:eastAsia="宋体" w:hAnsi="宋体" w:cs="宋体" w:hint="eastAsia"/>
                <w:kern w:val="2"/>
                <w:sz w:val="24"/>
                <w:szCs w:val="24"/>
                <w:lang w:val="en-US" w:bidi="ar-SA"/>
                <w14:ligatures w14:val="standardContextual"/>
              </w:rPr>
              <w:t>以现金方式分配的利润不少于当年实现的合并报表归属于上市公司股东的可供分配利润的30%，且每股分红不低于0.7元。</w:t>
            </w:r>
          </w:p>
          <w:p w14:paraId="47906AB7" w14:textId="77777777" w:rsidR="007A131A" w:rsidRPr="00D04C38" w:rsidRDefault="007A131A">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7D35169" w14:textId="77777777" w:rsidR="00BA7C14"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3.助力中国企业出海是公司国际化业务重要组成部分，能否分享公司在这方面的进展？</w:t>
            </w:r>
          </w:p>
          <w:p w14:paraId="034F31C7" w14:textId="31884C19"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在全球产业链不断重构与调整的背景下，中国企业正加速推进自身产品、产能乃至业务生态出海。建发股份作为中国供应链运营行业领军企业，依托深厚的专业积累、全球化网络布局以及多品类运营能力，为出海企业提供了全方位的综合服务，亦带动自身出海业务收入规模稳健扩张，2025年上半年公司销售目的地为非中国</w:t>
            </w:r>
            <w:r w:rsidR="00FF77A3">
              <w:rPr>
                <w:rFonts w:ascii="宋体" w:eastAsia="宋体" w:hAnsi="宋体" w:cs="宋体" w:hint="eastAsia"/>
                <w:kern w:val="2"/>
                <w:sz w:val="24"/>
                <w:szCs w:val="24"/>
                <w:lang w:val="en-US" w:bidi="ar-SA"/>
                <w14:ligatures w14:val="standardContextual"/>
              </w:rPr>
              <w:t>大陆</w:t>
            </w:r>
            <w:r>
              <w:rPr>
                <w:rFonts w:ascii="宋体" w:eastAsia="宋体" w:hAnsi="宋体" w:cs="宋体" w:hint="eastAsia"/>
                <w:kern w:val="2"/>
                <w:sz w:val="24"/>
                <w:szCs w:val="24"/>
                <w:lang w:val="en-US" w:bidi="ar-SA"/>
                <w14:ligatures w14:val="standardContextual"/>
              </w:rPr>
              <w:t>地区的业务规模已超57亿美元，同比增长约10%。</w:t>
            </w:r>
          </w:p>
          <w:p w14:paraId="42E844C9" w14:textId="77777777"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 xml:space="preserve">    在消费品领域，公司凭借自身海外物流、渠道、客户资源帮助优质消费品企业出海：（1）在汽车业务板块，公司融入中国产业出海进程，与一汽集团、东风集团、江淮汽车、中国重汽、陕汽集团等国内主机厂建立联系，一同为全球市场提供更加智能的、可持续的中国制造交通解决方案。2025年8月，公司完成了厦门金龙纯电客车在非洲市场的交付。（2）在家电业务板块，公司深度融入全球化发展与家电产业升级，已与多家中国头部家电品牌、渠道方建立深度合作关</w:t>
            </w:r>
            <w:r>
              <w:rPr>
                <w:rFonts w:ascii="宋体" w:eastAsia="宋体" w:hAnsi="宋体" w:cs="宋体" w:hint="eastAsia"/>
                <w:kern w:val="2"/>
                <w:sz w:val="24"/>
                <w:szCs w:val="24"/>
                <w:lang w:val="en-US" w:bidi="ar-SA"/>
                <w14:ligatures w14:val="standardContextual"/>
              </w:rPr>
              <w:lastRenderedPageBreak/>
              <w:t>系。</w:t>
            </w:r>
          </w:p>
          <w:p w14:paraId="0A18BA36" w14:textId="77777777" w:rsidR="00BA7C14"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在大宗商品领域，钢铁业务的出海是公司重点发展的方向之一，凭借自身在国际业务网点和海外资源、渠道等方面的优势，建发股份积极赋能钢材产业伙伴，为广西盛隆（马来西亚项目）、北京建龙集团（马来西亚项目）、青山集团（印尼项目）、越南台塑河静钢铁等产业伙伴海外重点项目提供一站式供应链服务，保障优质炼钢原料供应，畅通海外物流渠道，开拓钢材国际市场，解决产业客户“走出去”发展过程中面临的原料供应链韧性、物流成本时效性、国际市场风险等方面的多样化需求和困难，助力产业客户更专注于生产、研发、管理等专业环节，有效降低制造业企业的资源配置成本。</w:t>
            </w:r>
          </w:p>
          <w:p w14:paraId="43BF83A6" w14:textId="77777777" w:rsidR="00BA7C14" w:rsidRDefault="00BA7C1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678375C" w14:textId="77777777" w:rsidR="00BA7C14" w:rsidRDefault="00000000">
            <w:pPr>
              <w:numPr>
                <w:ilvl w:val="0"/>
                <w:numId w:val="2"/>
              </w:num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当前外部形势复杂多变，公司如何保障国际化品种的供应稳定、提升国内相关产业的运营韧性？</w:t>
            </w:r>
          </w:p>
          <w:p w14:paraId="07C425E8" w14:textId="77777777" w:rsidR="00BA7C14"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面对全球供应链风险加剧的挑战，公司高度重视供应链安全体系建设，积极通过夯实全球资源网络布局、加快数智化能力建设、强化全球化物流体系、打造国际化人才团队等方式增强抗风险能力，实现关键资源找得到、运得回，助力国内产业客户提升供应链韧性。</w:t>
            </w:r>
          </w:p>
          <w:p w14:paraId="62921527" w14:textId="77777777" w:rsidR="00BA7C14"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以农产品为例，在全球宏观不确定性陡增的背景下，公司农产品集团通过多维度能力建设，助力保障国家粮食安全：</w:t>
            </w:r>
          </w:p>
          <w:p w14:paraId="0CB833AC" w14:textId="77777777" w:rsidR="00BA7C14" w:rsidRDefault="00000000">
            <w:pPr>
              <w:numPr>
                <w:ilvl w:val="0"/>
                <w:numId w:val="3"/>
              </w:num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公司深入海外资源上游产区，加大南美、黑海、欧洲、非洲等地区大豆、玉米、小麦优质替代资源开发，提升海外粮食收储能力，提升关键资源供应来源多元化，确保优质农产品资源稳定供应。</w:t>
            </w:r>
          </w:p>
          <w:p w14:paraId="13416793" w14:textId="77777777" w:rsidR="00BA7C14" w:rsidRDefault="00000000">
            <w:pPr>
              <w:numPr>
                <w:ilvl w:val="0"/>
                <w:numId w:val="3"/>
              </w:num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kern w:val="2"/>
                <w:sz w:val="24"/>
                <w:szCs w:val="24"/>
                <w:lang w:val="en-US" w:bidi="ar-SA"/>
                <w14:ligatures w14:val="standardContextual"/>
              </w:rPr>
              <w:t>通过整合全球气象数据、产区产量数据、市场价格数据等多维度信息，构建AI分析模型，实时捕捉市场动态与供应链风险，为采购、库存、分销等决策提供数据支撑</w:t>
            </w:r>
            <w:r>
              <w:rPr>
                <w:rFonts w:ascii="宋体" w:eastAsia="宋体" w:hAnsi="宋体" w:cs="宋体" w:hint="eastAsia"/>
                <w:kern w:val="2"/>
                <w:sz w:val="24"/>
                <w:szCs w:val="24"/>
                <w:lang w:val="en-US" w:bidi="ar-SA"/>
                <w14:ligatures w14:val="standardContextual"/>
              </w:rPr>
              <w:t>。</w:t>
            </w:r>
          </w:p>
          <w:p w14:paraId="4EF1D385" w14:textId="77777777" w:rsidR="00BA7C14" w:rsidRDefault="00000000">
            <w:pPr>
              <w:numPr>
                <w:ilvl w:val="0"/>
                <w:numId w:val="3"/>
              </w:num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kern w:val="2"/>
                <w:sz w:val="24"/>
                <w:szCs w:val="24"/>
                <w:lang w:val="en-US" w:bidi="ar-SA"/>
                <w14:ligatures w14:val="standardContextual"/>
              </w:rPr>
              <w:lastRenderedPageBreak/>
              <w:t>通过整合、期租与合作等方式，持续布局关键节点的物流资源，整合自有物流资源与社会物流资源，构建国际化物流体系。同时，组建专业租船团队，并与多家大型船公司开展战略合作，通过自主租船大幅增强运输可控性和贸易灵活性，有效应对国际海运价格波动与运力紧张问题，保障农产品运输畅通</w:t>
            </w:r>
            <w:r>
              <w:rPr>
                <w:rFonts w:ascii="宋体" w:eastAsia="宋体" w:hAnsi="宋体" w:cs="宋体" w:hint="eastAsia"/>
                <w:kern w:val="2"/>
                <w:sz w:val="24"/>
                <w:szCs w:val="24"/>
                <w:lang w:val="en-US" w:bidi="ar-SA"/>
                <w14:ligatures w14:val="standardContextual"/>
              </w:rPr>
              <w:t>。</w:t>
            </w:r>
          </w:p>
          <w:p w14:paraId="461B3A3A" w14:textId="77777777" w:rsidR="00BA7C14" w:rsidRDefault="00000000">
            <w:pPr>
              <w:numPr>
                <w:ilvl w:val="0"/>
                <w:numId w:val="3"/>
              </w:num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kern w:val="2"/>
                <w:sz w:val="24"/>
                <w:szCs w:val="24"/>
                <w:lang w:val="en-US" w:bidi="ar-SA"/>
                <w14:ligatures w14:val="standardContextual"/>
              </w:rPr>
              <w:t>公司组建了兼具跨境供应链经验与创新能力的农产品国际化经营团队，</w:t>
            </w:r>
            <w:r>
              <w:rPr>
                <w:rFonts w:ascii="宋体" w:eastAsia="宋体" w:hAnsi="宋体" w:cs="宋体" w:hint="eastAsia"/>
                <w:kern w:val="2"/>
                <w:sz w:val="24"/>
                <w:szCs w:val="24"/>
                <w:lang w:val="en-US" w:bidi="ar-SA"/>
                <w14:ligatures w14:val="standardContextual"/>
              </w:rPr>
              <w:t>并</w:t>
            </w:r>
            <w:r>
              <w:rPr>
                <w:rFonts w:ascii="宋体" w:eastAsia="宋体" w:hAnsi="宋体" w:cs="宋体"/>
                <w:kern w:val="2"/>
                <w:sz w:val="24"/>
                <w:szCs w:val="24"/>
                <w:lang w:val="en-US" w:bidi="ar-SA"/>
                <w14:ligatures w14:val="standardContextual"/>
              </w:rPr>
              <w:t>在海外产销区招聘本地化人才，打造“年轻化、专业化、本土化”的</w:t>
            </w:r>
            <w:r>
              <w:rPr>
                <w:rFonts w:ascii="宋体" w:eastAsia="宋体" w:hAnsi="宋体" w:cs="宋体" w:hint="eastAsia"/>
                <w:kern w:val="2"/>
                <w:sz w:val="24"/>
                <w:szCs w:val="24"/>
                <w:lang w:val="en-US" w:bidi="ar-SA"/>
                <w14:ligatures w14:val="standardContextual"/>
              </w:rPr>
              <w:t>国际</w:t>
            </w:r>
            <w:r>
              <w:rPr>
                <w:rFonts w:ascii="宋体" w:eastAsia="宋体" w:hAnsi="宋体" w:cs="宋体"/>
                <w:kern w:val="2"/>
                <w:sz w:val="24"/>
                <w:szCs w:val="24"/>
                <w:lang w:val="en-US" w:bidi="ar-SA"/>
                <w14:ligatures w14:val="standardContextual"/>
              </w:rPr>
              <w:t>人才梯队</w:t>
            </w:r>
            <w:r>
              <w:rPr>
                <w:rFonts w:ascii="宋体" w:eastAsia="宋体" w:hAnsi="宋体" w:cs="宋体" w:hint="eastAsia"/>
                <w:kern w:val="2"/>
                <w:sz w:val="24"/>
                <w:szCs w:val="24"/>
                <w:lang w:val="en-US" w:bidi="ar-SA"/>
                <w14:ligatures w14:val="standardContextual"/>
              </w:rPr>
              <w:t>，</w:t>
            </w:r>
            <w:r>
              <w:rPr>
                <w:rFonts w:ascii="宋体" w:eastAsia="宋体" w:hAnsi="宋体" w:cs="宋体"/>
                <w:kern w:val="2"/>
                <w:sz w:val="24"/>
                <w:szCs w:val="24"/>
                <w:lang w:val="en-US" w:bidi="ar-SA"/>
                <w14:ligatures w14:val="standardContextual"/>
              </w:rPr>
              <w:t>持续提升公司在国际农产品市场中的竞争力。</w:t>
            </w:r>
          </w:p>
          <w:p w14:paraId="35363859" w14:textId="77777777" w:rsidR="00BA7C14" w:rsidRPr="00866B6B" w:rsidRDefault="00BA7C1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7DDAE4C0" w14:textId="77777777" w:rsidR="00BA7C14" w:rsidRPr="005E0D1D"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sidRPr="005E0D1D">
              <w:rPr>
                <w:rFonts w:ascii="宋体" w:eastAsia="宋体" w:hAnsi="宋体" w:cs="宋体" w:hint="eastAsia"/>
                <w:b/>
                <w:bCs/>
                <w:kern w:val="2"/>
                <w:sz w:val="24"/>
                <w:szCs w:val="24"/>
                <w:lang w:val="en-US" w:bidi="ar-SA"/>
                <w14:ligatures w14:val="standardContextual"/>
              </w:rPr>
              <w:t>5.巴菲特年内继续增持日本商社，建发股份作为“中国式商社”的领军企业，未来如何推进国际化战略、提升国际市场竞争力？</w:t>
            </w:r>
          </w:p>
          <w:p w14:paraId="12194E1F" w14:textId="77777777"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sidRPr="005E0D1D">
              <w:rPr>
                <w:rFonts w:ascii="宋体" w:eastAsia="宋体" w:hAnsi="宋体" w:cs="宋体" w:hint="eastAsia"/>
                <w:kern w:val="2"/>
                <w:sz w:val="24"/>
                <w:szCs w:val="24"/>
                <w:lang w:val="en-US" w:bidi="ar-SA"/>
                <w14:ligatures w14:val="standardContextual"/>
              </w:rPr>
              <w:t>答：在全球宏观环境不确定性提升、国内优质制造企业集中出海的背景下，</w:t>
            </w:r>
            <w:r w:rsidRPr="005E0D1D">
              <w:rPr>
                <w:rFonts w:ascii="宋体" w:eastAsia="宋体" w:hAnsi="宋体" w:cs="宋体" w:hint="eastAsia"/>
                <w:sz w:val="24"/>
                <w:szCs w:val="24"/>
              </w:rPr>
              <w:t>中国</w:t>
            </w:r>
            <w:r w:rsidRPr="005E0D1D">
              <w:rPr>
                <w:rFonts w:ascii="宋体" w:eastAsia="宋体" w:hAnsi="宋体" w:cs="宋体" w:hint="eastAsia"/>
                <w:sz w:val="24"/>
                <w:szCs w:val="24"/>
                <w:lang w:val="en-US"/>
              </w:rPr>
              <w:t>亟需</w:t>
            </w:r>
            <w:r w:rsidRPr="005E0D1D">
              <w:rPr>
                <w:rFonts w:ascii="宋体" w:eastAsia="宋体" w:hAnsi="宋体" w:cs="宋体" w:hint="eastAsia"/>
                <w:sz w:val="24"/>
                <w:szCs w:val="24"/>
              </w:rPr>
              <w:t>培育自己的大型综合商社，助力</w:t>
            </w:r>
            <w:r w:rsidRPr="005E0D1D">
              <w:rPr>
                <w:rFonts w:ascii="宋体" w:eastAsia="宋体" w:hAnsi="宋体" w:cs="宋体" w:hint="eastAsia"/>
                <w:sz w:val="24"/>
                <w:szCs w:val="24"/>
                <w:lang w:val="en-US"/>
              </w:rPr>
              <w:t>供应链体系稳健运行。</w:t>
            </w:r>
            <w:r w:rsidRPr="00866B6B">
              <w:rPr>
                <w:rFonts w:ascii="宋体" w:eastAsia="宋体" w:hAnsi="宋体" w:cs="宋体" w:hint="eastAsia"/>
                <w:kern w:val="2"/>
                <w:sz w:val="24"/>
                <w:szCs w:val="24"/>
                <w:lang w:val="en-US" w:bidi="ar-SA"/>
                <w14:ligatures w14:val="standardContextual"/>
              </w:rPr>
              <w:t>建</w:t>
            </w:r>
            <w:r>
              <w:rPr>
                <w:rFonts w:ascii="宋体" w:eastAsia="宋体" w:hAnsi="宋体" w:cs="宋体" w:hint="eastAsia"/>
                <w:kern w:val="2"/>
                <w:sz w:val="24"/>
                <w:szCs w:val="24"/>
                <w:lang w:val="en-US" w:bidi="ar-SA"/>
                <w14:ligatures w14:val="standardContextual"/>
              </w:rPr>
              <w:t>发股份致力于成为国际领先的供应链运营商，以“中国式商社，全球化建发”为品牌定位，坚持“国际化战略”，持续完善全球化供应链服务体系，拓展国际产业链资源，积极融入国内国际双循环新发展格局。</w:t>
            </w:r>
          </w:p>
          <w:p w14:paraId="246C50ED" w14:textId="77777777" w:rsidR="00BA7C14"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公司当前正加快从供应链全球化“参与者”“服务者”到“组织者”的自身定位转型升级，与各产业链上下游合作伙伴共同开拓国际市场，共享全球供应链优质资源，共建国际化发展竞争力，在全球供应链体系中不断提升建发股份“LIFT供应链服务”的品牌影响力。在全球化战略中，公司主要秉承两大核心方向：</w:t>
            </w:r>
          </w:p>
          <w:p w14:paraId="6F8ADECC" w14:textId="77777777" w:rsidR="00BA7C14" w:rsidRDefault="00000000">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一是锚定“双循环”格局，构建全球供应链网络。建发股份积极融入“双循环”新发展格局，紧抓“一带一路”、RCEP市场机遇，加快供应链海外布局，从东南亚向美洲、欧洲、</w:t>
            </w:r>
            <w:r>
              <w:rPr>
                <w:rFonts w:ascii="宋体" w:eastAsia="宋体" w:hAnsi="宋体" w:cs="宋体" w:hint="eastAsia"/>
                <w:kern w:val="2"/>
                <w:sz w:val="24"/>
                <w:szCs w:val="24"/>
                <w:lang w:val="en-US" w:bidi="ar-SA"/>
                <w14:ligatures w14:val="standardContextual"/>
              </w:rPr>
              <w:lastRenderedPageBreak/>
              <w:t>非洲等远洋市场“走出去”。目前，公司已在越南、马来西亚、印尼、日本、韩国、巴西等RCEP、金砖及共建“一带一路”超35个国家设立超70个海外公司和办事处，在职外籍员工及派驻境外员工超400人。公司积极与国际大型或境外本土优势物流供应商深化战略合作关系，在境外超30个国家和地区设有自营/合作海外仓，并运营中欧班列建发专列和商舟航空跨境物流项目，搭建高效的全球物流网络，为产业客户国际化业务提供安全稳定、畅通高效的国际物流服务。</w:t>
            </w:r>
          </w:p>
          <w:p w14:paraId="31F69BD4" w14:textId="77777777" w:rsidR="00BA7C14" w:rsidRDefault="00000000">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二是强化资源与渠道整合，服务保障国家关键资源供应安全。建发股份持续完善供应链关键渠道国际化布局，强化全球性资源获取和渠道布局能力，供应链服务辐射全球超170个国家和地区，近5年内签约合作的境外供应商和客户数量超过2万家。供应端，公司持续深入海外资源上游产区，不断拓展南美、非洲、西亚地区的铜、锰、锂、钴等矿产资源，加大南美、黑海、欧洲、非洲等地区大豆、玉米、小麦优质替代资源开发，提升海外粮食收储能力，提升关键资源供应来源多元化，增强面向全球的金属矿产和农产品资源配置和整合能力。渠道端，公司以境外平台网点为支撑载体，深度研究属地化市场需求，系统性推进本土化业务运营，持续强化全球化销售服务体系建设，着力打通下游终端销售渠道网络，全面提升“买全球、卖全球”的供应链一体化服务能力。</w:t>
            </w:r>
          </w:p>
          <w:p w14:paraId="5D847449" w14:textId="77777777" w:rsidR="00BA7C14" w:rsidRDefault="00BA7C1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69E96A82" w14:textId="77777777" w:rsidR="00BA7C14"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6.建发股份下属子公司建发房产近期发布灯塔战略，如何理解和落实这一战略？</w:t>
            </w:r>
          </w:p>
          <w:p w14:paraId="55F67B19" w14:textId="77777777"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在房地产行业迈向“价值深耕”的关键转型期，建发房产正式发布“灯塔战略”，公司将围绕“爱即真诚、颜值即价值”的理念打造系列“灯塔作品”，在全国核心城市秉持“客户至上”、“因地制宜”的理念树立高端项目标杆、提</w:t>
            </w:r>
            <w:r>
              <w:rPr>
                <w:rFonts w:ascii="宋体" w:eastAsia="宋体" w:hAnsi="宋体" w:cs="宋体" w:hint="eastAsia"/>
                <w:kern w:val="2"/>
                <w:sz w:val="24"/>
                <w:szCs w:val="24"/>
                <w:lang w:val="en-US" w:bidi="ar-SA"/>
                <w14:ligatures w14:val="standardContextual"/>
              </w:rPr>
              <w:lastRenderedPageBreak/>
              <w:t>升品牌美誉度与影响力。</w:t>
            </w:r>
          </w:p>
          <w:p w14:paraId="71E51ED3" w14:textId="77777777" w:rsidR="00BA7C14" w:rsidRDefault="00000000">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为保障灯塔战略落地，建发房产规划了五大核心路径：</w:t>
            </w:r>
          </w:p>
          <w:p w14:paraId="209E20E6" w14:textId="77777777" w:rsidR="00BA7C14" w:rsidRDefault="00000000">
            <w:pPr>
              <w:numPr>
                <w:ilvl w:val="0"/>
                <w:numId w:val="4"/>
              </w:num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由最高决策层深度参与项目全流程，从土地研判到产品营造全程把控，确保资源倾斜、标准拔高、执行高效。</w:t>
            </w:r>
          </w:p>
          <w:p w14:paraId="07527BC9" w14:textId="77777777" w:rsidR="00BA7C14" w:rsidRDefault="00000000">
            <w:pPr>
              <w:numPr>
                <w:ilvl w:val="0"/>
                <w:numId w:val="4"/>
              </w:num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锚定城市稀缺核心地段，成本投入聚焦长期价值，并聚合多方资源，为项目注入多维高阶价值。</w:t>
            </w:r>
          </w:p>
          <w:p w14:paraId="60F3FAC8" w14:textId="77777777" w:rsidR="00BA7C14" w:rsidRDefault="00000000">
            <w:pPr>
              <w:numPr>
                <w:ilvl w:val="0"/>
                <w:numId w:val="4"/>
              </w:num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以前沿设计理念为引领，结合城市文脉打造定制化产品，并融入智慧、绿色等前瞻性思考。</w:t>
            </w:r>
          </w:p>
          <w:p w14:paraId="6E1859AD" w14:textId="77777777" w:rsidR="00BA7C14" w:rsidRDefault="00000000">
            <w:pPr>
              <w:numPr>
                <w:ilvl w:val="0"/>
                <w:numId w:val="4"/>
              </w:num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优选全球范围内的优质材料，运用前沿工艺，极致打磨项目每处细节。</w:t>
            </w:r>
          </w:p>
          <w:p w14:paraId="2CDC8849" w14:textId="77777777" w:rsidR="00BA7C14" w:rsidRDefault="00000000">
            <w:pPr>
              <w:numPr>
                <w:ilvl w:val="0"/>
                <w:numId w:val="4"/>
              </w:num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打破过往经验体系，重塑产品系列，以上海建发·海宸为例，其以“中魂西骨”理念打造海派建筑，并配备华为鸿蒙智家系统、全屋华为FTTR光纤WIFI等，定义“未来居住”新标准。</w:t>
            </w:r>
          </w:p>
          <w:p w14:paraId="1B73E7E7" w14:textId="77777777" w:rsidR="00BA7C14"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kern w:val="2"/>
                <w:sz w:val="24"/>
                <w:szCs w:val="24"/>
                <w:lang w:val="en-US" w:bidi="ar-SA"/>
                <w14:ligatures w14:val="standardContextual"/>
              </w:rPr>
              <w:t>目前，建发房产“灯塔战略”已进入实质落地阶段，厦门建发港务·宸启瑞湖、北京建发·海晏、上海建发·海宸三大“灯塔作品”</w:t>
            </w:r>
            <w:r>
              <w:rPr>
                <w:rFonts w:ascii="宋体" w:eastAsia="宋体" w:hAnsi="宋体" w:cs="宋体" w:hint="eastAsia"/>
                <w:kern w:val="2"/>
                <w:sz w:val="24"/>
                <w:szCs w:val="24"/>
                <w:lang w:val="en-US" w:bidi="ar-SA"/>
                <w14:ligatures w14:val="standardContextual"/>
              </w:rPr>
              <w:t>于2025年二季度以来陆续入市</w:t>
            </w:r>
            <w:r>
              <w:rPr>
                <w:rFonts w:ascii="宋体" w:eastAsia="宋体" w:hAnsi="宋体" w:cs="宋体"/>
                <w:kern w:val="2"/>
                <w:sz w:val="24"/>
                <w:szCs w:val="24"/>
                <w:lang w:val="en-US" w:bidi="ar-SA"/>
                <w14:ligatures w14:val="standardContextual"/>
              </w:rPr>
              <w:t>，成都金融城项目、杭州蒋村项目</w:t>
            </w:r>
            <w:r>
              <w:rPr>
                <w:rFonts w:ascii="宋体" w:eastAsia="宋体" w:hAnsi="宋体" w:cs="宋体" w:hint="eastAsia"/>
                <w:kern w:val="2"/>
                <w:sz w:val="24"/>
                <w:szCs w:val="24"/>
                <w:lang w:val="en-US" w:bidi="ar-SA"/>
                <w14:ligatures w14:val="standardContextual"/>
              </w:rPr>
              <w:t>亦预计将于年内开盘。</w:t>
            </w:r>
          </w:p>
          <w:p w14:paraId="6B4A9B60" w14:textId="77777777" w:rsidR="00BA7C14" w:rsidRDefault="00BA7C1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1019937" w14:textId="77777777" w:rsidR="00BA7C14"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7.建发股份下属子公司联发集团上半年销售情况？未来的发展思路？</w:t>
            </w:r>
          </w:p>
          <w:p w14:paraId="4DB2854E" w14:textId="77777777"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答：2025年上半年子公司联发集团着重激发组织活力，持续聚焦“新青年战略”，兼顾“优质新盘上市”与“</w:t>
            </w:r>
            <w:r>
              <w:rPr>
                <w:rFonts w:ascii="宋体" w:eastAsia="宋体" w:hAnsi="宋体" w:cs="宋体" w:hint="eastAsia"/>
                <w:color w:val="0F1115"/>
                <w:sz w:val="24"/>
                <w:szCs w:val="24"/>
                <w:shd w:val="clear" w:color="auto" w:fill="FFFFFF"/>
              </w:rPr>
              <w:t>存量</w:t>
            </w:r>
            <w:r>
              <w:rPr>
                <w:rFonts w:ascii="宋体" w:eastAsia="宋体" w:hAnsi="宋体" w:cs="宋体" w:hint="eastAsia"/>
                <w:color w:val="0F1115"/>
                <w:sz w:val="24"/>
                <w:szCs w:val="24"/>
                <w:shd w:val="clear" w:color="auto" w:fill="FFFFFF"/>
                <w:lang w:val="en-US"/>
              </w:rPr>
              <w:t>项目</w:t>
            </w:r>
            <w:r>
              <w:rPr>
                <w:rFonts w:ascii="宋体" w:eastAsia="宋体" w:hAnsi="宋体" w:cs="宋体" w:hint="eastAsia"/>
                <w:color w:val="0F1115"/>
                <w:sz w:val="24"/>
                <w:szCs w:val="24"/>
                <w:shd w:val="clear" w:color="auto" w:fill="FFFFFF"/>
              </w:rPr>
              <w:t>激活</w:t>
            </w:r>
            <w:r>
              <w:rPr>
                <w:rFonts w:ascii="宋体" w:eastAsia="宋体" w:hAnsi="宋体" w:cs="宋体" w:hint="eastAsia"/>
                <w:kern w:val="2"/>
                <w:sz w:val="24"/>
                <w:szCs w:val="24"/>
                <w:lang w:val="en-US" w:bidi="ar-SA"/>
                <w14:ligatures w14:val="standardContextual"/>
              </w:rPr>
              <w:t>”，通过数字化营销等模式实现流量的高效触达与转化，最终驱动销售达成亮眼增长。2025年上半年联发集团实现合同销售金额134.07亿元（全口径），同比增长29.19%，权益销售金额89.60亿元，同比增长56.27%。</w:t>
            </w:r>
          </w:p>
          <w:p w14:paraId="241960D4" w14:textId="77777777"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 xml:space="preserve">    2025年9月，联发集团举办了“新青年好房子暨新澍产品品牌发布会”，进一步阐明“新青年产品战略”的内涵。</w:t>
            </w:r>
            <w:r>
              <w:rPr>
                <w:rFonts w:ascii="宋体" w:eastAsia="宋体" w:hAnsi="宋体" w:cs="宋体" w:hint="eastAsia"/>
                <w:kern w:val="2"/>
                <w:sz w:val="24"/>
                <w:szCs w:val="24"/>
                <w:lang w:val="en-US" w:bidi="ar-SA"/>
                <w14:ligatures w14:val="standardContextual"/>
              </w:rPr>
              <w:lastRenderedPageBreak/>
              <w:t>联发集团未来将围绕城市新青年的住房需求，在一、二线核心城市产业集群的片区，创新推出以60-80㎡为主力户型，同时兼具高品质、强运营和智慧化特征的产品，给年轻人提供第一套好房子。目前联发已在厦门、上海、南京、深圳推进6个新青年好房子样板项目。</w:t>
            </w:r>
          </w:p>
          <w:p w14:paraId="00D649F4" w14:textId="77777777" w:rsidR="00BA7C14" w:rsidRDefault="00BA7C1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1A8802F" w14:textId="77777777" w:rsidR="00BA7C14" w:rsidRDefault="00000000">
            <w:pPr>
              <w:numPr>
                <w:ilvl w:val="0"/>
                <w:numId w:val="5"/>
              </w:num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建发股份房地产业务下半年的拿地策略？</w:t>
            </w:r>
          </w:p>
          <w:p w14:paraId="7DDBC05C" w14:textId="77777777"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2025年以来公司房地产业务持续聚焦高能级城市优质地块，做精地块价值梳理、风险排查及客群定位，抓牢市场窗口布局优质项目，上半年公司以多元化方式获取优质土地24宗，全口径拿地金额合计582.43亿元，其中一、二线城市拿地金额占比超96%，新增地块的全口径货值超1,120亿元，子公司建发房产、联发集团分别位居克而瑞2025年上半年全国新增货值排行榜Top4、Top14。</w:t>
            </w:r>
          </w:p>
          <w:p w14:paraId="2CF6E307" w14:textId="77777777" w:rsidR="00BA7C14"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 xml:space="preserve">   展望下半年：</w:t>
            </w:r>
          </w:p>
          <w:p w14:paraId="79594DF7" w14:textId="77777777" w:rsidR="00BA7C14" w:rsidRDefault="00000000">
            <w:pPr>
              <w:numPr>
                <w:ilvl w:val="0"/>
                <w:numId w:val="6"/>
              </w:numPr>
              <w:autoSpaceDE/>
              <w:autoSpaceDN/>
              <w:spacing w:line="360" w:lineRule="auto"/>
              <w:ind w:firstLineChars="100" w:firstLine="24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当前房地产市场的止跌回稳仍在进程中，公司将秉承审慎投资的态度，充分评估宏观环境与房地产行业发展趋势，始终把流动性摆在首位，优先考虑去化周期和价格风险，并兼顾利润率要求，增强库存的流动性。</w:t>
            </w:r>
          </w:p>
          <w:p w14:paraId="27298ECF" w14:textId="77777777" w:rsidR="00BA7C14" w:rsidRDefault="00000000">
            <w:pPr>
              <w:numPr>
                <w:ilvl w:val="0"/>
                <w:numId w:val="6"/>
              </w:numPr>
              <w:autoSpaceDE/>
              <w:autoSpaceDN/>
              <w:spacing w:line="360" w:lineRule="auto"/>
              <w:ind w:firstLineChars="100" w:firstLine="24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公司会继续增强多元化投资能力，通过城市更新、资产包等拓展方式和渠道，补充核心城市的优质项目。</w:t>
            </w:r>
          </w:p>
          <w:p w14:paraId="265089E0" w14:textId="77777777" w:rsidR="00BA7C14" w:rsidRDefault="00000000">
            <w:pPr>
              <w:numPr>
                <w:ilvl w:val="0"/>
                <w:numId w:val="6"/>
              </w:numPr>
              <w:autoSpaceDE/>
              <w:autoSpaceDN/>
              <w:spacing w:line="360" w:lineRule="auto"/>
              <w:ind w:firstLineChars="100" w:firstLine="24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公司亦将持续研究好城市及地块的经营逻辑，读好城市、做好产品、控好风险，将客研工作做好、做扎实，提升投资精度。</w:t>
            </w:r>
          </w:p>
        </w:tc>
      </w:tr>
      <w:tr w:rsidR="00BA7C14" w14:paraId="1A4E9C20" w14:textId="77777777">
        <w:trPr>
          <w:trHeight w:val="999"/>
          <w:jc w:val="center"/>
        </w:trPr>
        <w:tc>
          <w:tcPr>
            <w:tcW w:w="1961" w:type="dxa"/>
            <w:vAlign w:val="center"/>
          </w:tcPr>
          <w:p w14:paraId="0159A84A" w14:textId="77777777" w:rsidR="00BA7C14"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lastRenderedPageBreak/>
              <w:t>关于本次活动是否涉及应披露重大信息的说明</w:t>
            </w:r>
          </w:p>
        </w:tc>
        <w:tc>
          <w:tcPr>
            <w:tcW w:w="6320" w:type="dxa"/>
            <w:vAlign w:val="center"/>
          </w:tcPr>
          <w:p w14:paraId="135A75CD" w14:textId="77777777" w:rsidR="00BA7C14"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本次活动不涉及未公开披露的重大信息。</w:t>
            </w:r>
          </w:p>
        </w:tc>
      </w:tr>
      <w:tr w:rsidR="00BA7C14" w14:paraId="2DB6E138" w14:textId="77777777" w:rsidTr="005E0D1D">
        <w:trPr>
          <w:trHeight w:val="249"/>
          <w:jc w:val="center"/>
        </w:trPr>
        <w:tc>
          <w:tcPr>
            <w:tcW w:w="8281" w:type="dxa"/>
            <w:gridSpan w:val="2"/>
            <w:vAlign w:val="center"/>
          </w:tcPr>
          <w:p w14:paraId="3D870D90" w14:textId="77777777" w:rsidR="00BA7C14" w:rsidRDefault="00000000">
            <w:pPr>
              <w:pStyle w:val="TableParagraph"/>
              <w:spacing w:before="100" w:beforeAutospacing="1" w:line="360" w:lineRule="auto"/>
              <w:jc w:val="center"/>
              <w:rPr>
                <w:rFonts w:ascii="宋体" w:eastAsia="宋体" w:hAnsi="宋体" w:cs="宋体" w:hint="eastAsia"/>
                <w:sz w:val="24"/>
                <w:szCs w:val="24"/>
                <w:lang w:val="en-US"/>
              </w:rPr>
            </w:pPr>
            <w:r>
              <w:rPr>
                <w:rFonts w:ascii="宋体" w:eastAsia="宋体" w:hAnsi="宋体" w:cs="宋体" w:hint="eastAsia"/>
                <w:b/>
                <w:bCs/>
                <w:sz w:val="24"/>
                <w:szCs w:val="24"/>
                <w:lang w:val="en-US"/>
              </w:rPr>
              <w:t>风险提示</w:t>
            </w:r>
          </w:p>
        </w:tc>
      </w:tr>
      <w:tr w:rsidR="00BA7C14" w14:paraId="05DAD412" w14:textId="77777777" w:rsidTr="005E0D1D">
        <w:trPr>
          <w:trHeight w:val="766"/>
          <w:jc w:val="center"/>
        </w:trPr>
        <w:tc>
          <w:tcPr>
            <w:tcW w:w="8281" w:type="dxa"/>
            <w:gridSpan w:val="2"/>
            <w:vAlign w:val="center"/>
          </w:tcPr>
          <w:p w14:paraId="318CBB6E" w14:textId="77777777" w:rsidR="00BA7C14"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以上如涉及对行业的预测、公司发展战略规划等相关内容，不能视作公司或管理层对行业、公司发展或业绩的承诺和保证，敬请广大投资者注意投资风险。</w:t>
            </w:r>
          </w:p>
        </w:tc>
      </w:tr>
    </w:tbl>
    <w:p w14:paraId="5922C706" w14:textId="22209753" w:rsidR="00BA7C14" w:rsidRDefault="00866B6B" w:rsidP="005E0D1D">
      <w:pPr>
        <w:widowControl/>
        <w:autoSpaceDE/>
        <w:autoSpaceDN/>
        <w:rPr>
          <w:rFonts w:ascii="宋体" w:eastAsia="宋体" w:hAnsi="宋体" w:cs="宋体" w:hint="eastAsia"/>
          <w:b/>
          <w:bCs/>
          <w:sz w:val="24"/>
          <w:szCs w:val="24"/>
          <w:lang w:val="en-US"/>
        </w:rPr>
      </w:pPr>
      <w:r>
        <w:rPr>
          <w:rFonts w:ascii="宋体" w:eastAsia="宋体" w:hAnsi="宋体" w:cs="宋体" w:hint="eastAsia"/>
          <w:b/>
          <w:bCs/>
          <w:sz w:val="24"/>
          <w:szCs w:val="24"/>
          <w:lang w:val="en-US"/>
        </w:rPr>
        <w:br w:type="page"/>
      </w:r>
      <w:r>
        <w:rPr>
          <w:rFonts w:ascii="宋体" w:eastAsia="宋体" w:hAnsi="宋体" w:cs="宋体" w:hint="eastAsia"/>
          <w:b/>
          <w:bCs/>
          <w:sz w:val="24"/>
          <w:szCs w:val="24"/>
          <w:lang w:val="en-US"/>
        </w:rPr>
        <w:lastRenderedPageBreak/>
        <w:t>附表：主要机构名单</w:t>
      </w:r>
    </w:p>
    <w:p w14:paraId="6CDC462E" w14:textId="77777777" w:rsidR="00BA7C14" w:rsidRDefault="00BA7C14">
      <w:pPr>
        <w:rPr>
          <w:rFonts w:ascii="宋体" w:eastAsia="宋体" w:hAnsi="宋体" w:cs="宋体" w:hint="eastAsia"/>
          <w:b/>
          <w:bCs/>
          <w:sz w:val="24"/>
          <w:szCs w:val="24"/>
          <w:lang w:val="en-US"/>
        </w:rPr>
      </w:pPr>
    </w:p>
    <w:tbl>
      <w:tblPr>
        <w:tblW w:w="8339" w:type="dxa"/>
        <w:tblInd w:w="93" w:type="dxa"/>
        <w:tblLayout w:type="fixed"/>
        <w:tblLook w:val="04A0" w:firstRow="1" w:lastRow="0" w:firstColumn="1" w:lastColumn="0" w:noHBand="0" w:noVBand="1"/>
      </w:tblPr>
      <w:tblGrid>
        <w:gridCol w:w="3430"/>
        <w:gridCol w:w="4909"/>
      </w:tblGrid>
      <w:tr w:rsidR="00BA7C14" w14:paraId="0AE8DFCC" w14:textId="77777777">
        <w:trPr>
          <w:trHeight w:val="299"/>
        </w:trPr>
        <w:tc>
          <w:tcPr>
            <w:tcW w:w="343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D735DAD" w14:textId="77777777" w:rsidR="00BA7C14" w:rsidRDefault="00000000">
            <w:pPr>
              <w:widowControl/>
              <w:jc w:val="center"/>
              <w:textAlignment w:val="center"/>
              <w:rPr>
                <w:rFonts w:ascii="宋体" w:eastAsia="宋体" w:hAnsi="宋体" w:cs="宋体" w:hint="eastAsia"/>
                <w:b/>
                <w:bCs/>
                <w:color w:val="000000"/>
              </w:rPr>
            </w:pPr>
            <w:r>
              <w:rPr>
                <w:rFonts w:ascii="宋体" w:eastAsia="宋体" w:hAnsi="宋体" w:cs="宋体" w:hint="eastAsia"/>
                <w:b/>
                <w:bCs/>
                <w:color w:val="000000"/>
                <w:lang w:val="en-US" w:bidi="ar"/>
              </w:rPr>
              <w:t>序号</w:t>
            </w:r>
          </w:p>
        </w:tc>
        <w:tc>
          <w:tcPr>
            <w:tcW w:w="49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334DDC" w14:textId="77777777" w:rsidR="00BA7C14" w:rsidRDefault="00000000">
            <w:pPr>
              <w:widowControl/>
              <w:jc w:val="center"/>
              <w:textAlignment w:val="center"/>
              <w:rPr>
                <w:rFonts w:ascii="宋体" w:eastAsia="宋体" w:hAnsi="宋体" w:cs="宋体" w:hint="eastAsia"/>
                <w:b/>
                <w:bCs/>
                <w:color w:val="000000"/>
              </w:rPr>
            </w:pPr>
            <w:r>
              <w:rPr>
                <w:rFonts w:ascii="宋体" w:eastAsia="宋体" w:hAnsi="宋体" w:cs="宋体" w:hint="eastAsia"/>
                <w:b/>
                <w:bCs/>
                <w:color w:val="000000"/>
                <w:lang w:val="en-US" w:bidi="ar"/>
              </w:rPr>
              <w:t>机构名称</w:t>
            </w:r>
          </w:p>
        </w:tc>
      </w:tr>
      <w:tr w:rsidR="00BA7C14" w14:paraId="66C1A6B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E13AFF2"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w:t>
            </w:r>
          </w:p>
        </w:tc>
        <w:tc>
          <w:tcPr>
            <w:tcW w:w="4909" w:type="dxa"/>
            <w:tcBorders>
              <w:top w:val="single" w:sz="4" w:space="0" w:color="000000"/>
              <w:left w:val="single" w:sz="4" w:space="0" w:color="000000"/>
              <w:bottom w:val="single" w:sz="4" w:space="0" w:color="000000"/>
              <w:right w:val="single" w:sz="4" w:space="0" w:color="000000"/>
            </w:tcBorders>
            <w:vAlign w:val="center"/>
          </w:tcPr>
          <w:p w14:paraId="6828A44A" w14:textId="77777777" w:rsidR="00BA7C14" w:rsidRDefault="00000000">
            <w:pPr>
              <w:widowControl/>
              <w:jc w:val="center"/>
              <w:textAlignment w:val="center"/>
              <w:rPr>
                <w:rFonts w:ascii="宋体" w:eastAsia="宋体" w:hAnsi="宋体" w:cs="宋体" w:hint="eastAsia"/>
                <w:color w:val="000000"/>
                <w:lang w:val="en-US"/>
              </w:rPr>
            </w:pPr>
            <w:r>
              <w:rPr>
                <w:rFonts w:ascii="宋体" w:eastAsia="宋体" w:hAnsi="宋体" w:cs="宋体" w:hint="eastAsia"/>
                <w:color w:val="000000"/>
                <w:lang w:val="en-US" w:bidi="ar"/>
              </w:rPr>
              <w:t>Capstone Capital</w:t>
            </w:r>
          </w:p>
        </w:tc>
      </w:tr>
      <w:tr w:rsidR="00BA7C14" w14:paraId="7A3E3C9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44A14D48"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2</w:t>
            </w:r>
          </w:p>
        </w:tc>
        <w:tc>
          <w:tcPr>
            <w:tcW w:w="4909" w:type="dxa"/>
            <w:tcBorders>
              <w:top w:val="single" w:sz="4" w:space="0" w:color="000000"/>
              <w:left w:val="single" w:sz="4" w:space="0" w:color="000000"/>
              <w:bottom w:val="single" w:sz="4" w:space="0" w:color="000000"/>
              <w:right w:val="single" w:sz="4" w:space="0" w:color="000000"/>
            </w:tcBorders>
            <w:vAlign w:val="center"/>
          </w:tcPr>
          <w:p w14:paraId="0D4E8337"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大成基金</w:t>
            </w:r>
          </w:p>
        </w:tc>
      </w:tr>
      <w:tr w:rsidR="00BA7C14" w14:paraId="0E7EAC49"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4D13B95F"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3</w:t>
            </w:r>
          </w:p>
        </w:tc>
        <w:tc>
          <w:tcPr>
            <w:tcW w:w="4909" w:type="dxa"/>
            <w:tcBorders>
              <w:top w:val="single" w:sz="4" w:space="0" w:color="000000"/>
              <w:left w:val="single" w:sz="4" w:space="0" w:color="000000"/>
              <w:bottom w:val="single" w:sz="4" w:space="0" w:color="000000"/>
              <w:right w:val="single" w:sz="4" w:space="0" w:color="000000"/>
            </w:tcBorders>
            <w:vAlign w:val="center"/>
          </w:tcPr>
          <w:p w14:paraId="001B5A9C"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大家资产</w:t>
            </w:r>
          </w:p>
        </w:tc>
      </w:tr>
      <w:tr w:rsidR="00BA7C14" w14:paraId="7637A0B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15385F37"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4</w:t>
            </w:r>
          </w:p>
        </w:tc>
        <w:tc>
          <w:tcPr>
            <w:tcW w:w="4909" w:type="dxa"/>
            <w:tcBorders>
              <w:top w:val="single" w:sz="4" w:space="0" w:color="000000"/>
              <w:left w:val="single" w:sz="4" w:space="0" w:color="000000"/>
              <w:bottom w:val="single" w:sz="4" w:space="0" w:color="000000"/>
              <w:right w:val="single" w:sz="4" w:space="0" w:color="000000"/>
            </w:tcBorders>
            <w:vAlign w:val="center"/>
          </w:tcPr>
          <w:p w14:paraId="5E33776C"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国海富兰克林基金</w:t>
            </w:r>
          </w:p>
        </w:tc>
      </w:tr>
      <w:tr w:rsidR="00BA7C14" w14:paraId="6258195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A789324"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5</w:t>
            </w:r>
          </w:p>
        </w:tc>
        <w:tc>
          <w:tcPr>
            <w:tcW w:w="4909" w:type="dxa"/>
            <w:tcBorders>
              <w:top w:val="single" w:sz="4" w:space="0" w:color="000000"/>
              <w:left w:val="single" w:sz="4" w:space="0" w:color="000000"/>
              <w:bottom w:val="single" w:sz="4" w:space="0" w:color="000000"/>
              <w:right w:val="single" w:sz="4" w:space="0" w:color="000000"/>
            </w:tcBorders>
            <w:vAlign w:val="center"/>
          </w:tcPr>
          <w:p w14:paraId="2567FD21" w14:textId="77777777" w:rsidR="00BA7C14"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国联基金</w:t>
            </w:r>
          </w:p>
        </w:tc>
      </w:tr>
      <w:tr w:rsidR="00BA7C14" w14:paraId="60743B2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29D74E47"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6</w:t>
            </w:r>
          </w:p>
        </w:tc>
        <w:tc>
          <w:tcPr>
            <w:tcW w:w="4909" w:type="dxa"/>
            <w:tcBorders>
              <w:top w:val="single" w:sz="4" w:space="0" w:color="000000"/>
              <w:left w:val="single" w:sz="4" w:space="0" w:color="000000"/>
              <w:bottom w:val="single" w:sz="4" w:space="0" w:color="000000"/>
              <w:right w:val="single" w:sz="4" w:space="0" w:color="000000"/>
            </w:tcBorders>
            <w:vAlign w:val="center"/>
          </w:tcPr>
          <w:p w14:paraId="04BAF735"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国联民生证券</w:t>
            </w:r>
          </w:p>
        </w:tc>
      </w:tr>
      <w:tr w:rsidR="00BA7C14" w14:paraId="20414B7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22877672"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7</w:t>
            </w:r>
          </w:p>
        </w:tc>
        <w:tc>
          <w:tcPr>
            <w:tcW w:w="4909" w:type="dxa"/>
            <w:tcBorders>
              <w:top w:val="single" w:sz="4" w:space="0" w:color="000000"/>
              <w:left w:val="single" w:sz="4" w:space="0" w:color="000000"/>
              <w:bottom w:val="single" w:sz="4" w:space="0" w:color="000000"/>
              <w:right w:val="single" w:sz="4" w:space="0" w:color="000000"/>
            </w:tcBorders>
            <w:vAlign w:val="center"/>
          </w:tcPr>
          <w:p w14:paraId="2D0EB42D"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国寿资产</w:t>
            </w:r>
          </w:p>
        </w:tc>
      </w:tr>
      <w:tr w:rsidR="00BA7C14" w14:paraId="65216C6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08F5367B"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8</w:t>
            </w:r>
          </w:p>
        </w:tc>
        <w:tc>
          <w:tcPr>
            <w:tcW w:w="4909" w:type="dxa"/>
            <w:tcBorders>
              <w:top w:val="single" w:sz="4" w:space="0" w:color="000000"/>
              <w:left w:val="single" w:sz="4" w:space="0" w:color="000000"/>
              <w:bottom w:val="single" w:sz="4" w:space="0" w:color="000000"/>
              <w:right w:val="single" w:sz="4" w:space="0" w:color="000000"/>
            </w:tcBorders>
            <w:vAlign w:val="center"/>
          </w:tcPr>
          <w:p w14:paraId="5A748D11"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国泰海通证券</w:t>
            </w:r>
          </w:p>
        </w:tc>
      </w:tr>
      <w:tr w:rsidR="00BA7C14" w14:paraId="1BDE2CA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B9DF547"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9</w:t>
            </w:r>
          </w:p>
        </w:tc>
        <w:tc>
          <w:tcPr>
            <w:tcW w:w="4909" w:type="dxa"/>
            <w:tcBorders>
              <w:top w:val="single" w:sz="4" w:space="0" w:color="000000"/>
              <w:left w:val="single" w:sz="4" w:space="0" w:color="000000"/>
              <w:bottom w:val="single" w:sz="4" w:space="0" w:color="000000"/>
              <w:right w:val="single" w:sz="4" w:space="0" w:color="000000"/>
            </w:tcBorders>
            <w:vAlign w:val="center"/>
          </w:tcPr>
          <w:p w14:paraId="69A91EE7" w14:textId="77777777" w:rsidR="00BA7C14"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海港人寿</w:t>
            </w:r>
          </w:p>
        </w:tc>
      </w:tr>
      <w:tr w:rsidR="00BA7C14" w14:paraId="51061E9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3429711E"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10</w:t>
            </w:r>
          </w:p>
        </w:tc>
        <w:tc>
          <w:tcPr>
            <w:tcW w:w="4909" w:type="dxa"/>
            <w:tcBorders>
              <w:top w:val="single" w:sz="4" w:space="0" w:color="000000"/>
              <w:left w:val="single" w:sz="4" w:space="0" w:color="000000"/>
              <w:bottom w:val="single" w:sz="4" w:space="0" w:color="000000"/>
              <w:right w:val="single" w:sz="4" w:space="0" w:color="000000"/>
            </w:tcBorders>
            <w:vAlign w:val="center"/>
          </w:tcPr>
          <w:p w14:paraId="6410306C"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泓德基金</w:t>
            </w:r>
          </w:p>
        </w:tc>
      </w:tr>
      <w:tr w:rsidR="00BA7C14" w14:paraId="0A723BB3"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77834B3D"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11</w:t>
            </w:r>
          </w:p>
        </w:tc>
        <w:tc>
          <w:tcPr>
            <w:tcW w:w="4909" w:type="dxa"/>
            <w:tcBorders>
              <w:top w:val="single" w:sz="4" w:space="0" w:color="000000"/>
              <w:left w:val="single" w:sz="4" w:space="0" w:color="000000"/>
              <w:bottom w:val="single" w:sz="4" w:space="0" w:color="000000"/>
              <w:right w:val="single" w:sz="4" w:space="0" w:color="000000"/>
            </w:tcBorders>
            <w:vAlign w:val="center"/>
          </w:tcPr>
          <w:p w14:paraId="37B38F09"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华夏基金</w:t>
            </w:r>
          </w:p>
        </w:tc>
      </w:tr>
      <w:tr w:rsidR="00BA7C14" w14:paraId="7467FEE6"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332996AB"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12</w:t>
            </w:r>
          </w:p>
        </w:tc>
        <w:tc>
          <w:tcPr>
            <w:tcW w:w="4909" w:type="dxa"/>
            <w:tcBorders>
              <w:top w:val="single" w:sz="4" w:space="0" w:color="000000"/>
              <w:left w:val="single" w:sz="4" w:space="0" w:color="000000"/>
              <w:bottom w:val="single" w:sz="4" w:space="0" w:color="000000"/>
              <w:right w:val="single" w:sz="4" w:space="0" w:color="000000"/>
            </w:tcBorders>
            <w:vAlign w:val="center"/>
          </w:tcPr>
          <w:p w14:paraId="023AD84B"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华源证券</w:t>
            </w:r>
          </w:p>
        </w:tc>
      </w:tr>
      <w:tr w:rsidR="00BA7C14" w14:paraId="02E59CA5"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80DA4AD"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13</w:t>
            </w:r>
          </w:p>
        </w:tc>
        <w:tc>
          <w:tcPr>
            <w:tcW w:w="4909" w:type="dxa"/>
            <w:tcBorders>
              <w:top w:val="single" w:sz="4" w:space="0" w:color="000000"/>
              <w:left w:val="single" w:sz="4" w:space="0" w:color="000000"/>
              <w:bottom w:val="single" w:sz="4" w:space="0" w:color="000000"/>
              <w:right w:val="single" w:sz="4" w:space="0" w:color="000000"/>
            </w:tcBorders>
            <w:vAlign w:val="center"/>
          </w:tcPr>
          <w:p w14:paraId="457BD651"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建信基金</w:t>
            </w:r>
          </w:p>
        </w:tc>
      </w:tr>
      <w:tr w:rsidR="00BA7C14" w14:paraId="01F5EA5A"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6602A93A"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14</w:t>
            </w:r>
          </w:p>
        </w:tc>
        <w:tc>
          <w:tcPr>
            <w:tcW w:w="4909" w:type="dxa"/>
            <w:tcBorders>
              <w:top w:val="single" w:sz="4" w:space="0" w:color="000000"/>
              <w:left w:val="single" w:sz="4" w:space="0" w:color="000000"/>
              <w:bottom w:val="single" w:sz="4" w:space="0" w:color="000000"/>
              <w:right w:val="single" w:sz="4" w:space="0" w:color="000000"/>
            </w:tcBorders>
            <w:vAlign w:val="center"/>
          </w:tcPr>
          <w:p w14:paraId="17692F56" w14:textId="77777777" w:rsidR="00BA7C14"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交银施罗德基金</w:t>
            </w:r>
          </w:p>
        </w:tc>
      </w:tr>
      <w:tr w:rsidR="00BA7C14" w14:paraId="1FC50E55"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355C274D"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15</w:t>
            </w:r>
          </w:p>
        </w:tc>
        <w:tc>
          <w:tcPr>
            <w:tcW w:w="4909" w:type="dxa"/>
            <w:tcBorders>
              <w:top w:val="single" w:sz="4" w:space="0" w:color="000000"/>
              <w:left w:val="single" w:sz="4" w:space="0" w:color="000000"/>
              <w:bottom w:val="single" w:sz="4" w:space="0" w:color="000000"/>
              <w:right w:val="single" w:sz="4" w:space="0" w:color="000000"/>
            </w:tcBorders>
            <w:vAlign w:val="center"/>
          </w:tcPr>
          <w:p w14:paraId="59A2199D"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景顺长城</w:t>
            </w:r>
          </w:p>
        </w:tc>
      </w:tr>
      <w:tr w:rsidR="00BA7C14" w14:paraId="6088C12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A484D2F"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16</w:t>
            </w:r>
          </w:p>
        </w:tc>
        <w:tc>
          <w:tcPr>
            <w:tcW w:w="4909" w:type="dxa"/>
            <w:tcBorders>
              <w:top w:val="single" w:sz="4" w:space="0" w:color="000000"/>
              <w:left w:val="single" w:sz="4" w:space="0" w:color="000000"/>
              <w:bottom w:val="single" w:sz="4" w:space="0" w:color="000000"/>
              <w:right w:val="single" w:sz="4" w:space="0" w:color="000000"/>
            </w:tcBorders>
            <w:vAlign w:val="center"/>
          </w:tcPr>
          <w:p w14:paraId="3AA9C17A" w14:textId="77777777" w:rsidR="00BA7C14"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览众投资</w:t>
            </w:r>
          </w:p>
        </w:tc>
      </w:tr>
      <w:tr w:rsidR="00BA7C14" w14:paraId="18F5494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0BC16380"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17</w:t>
            </w:r>
          </w:p>
        </w:tc>
        <w:tc>
          <w:tcPr>
            <w:tcW w:w="4909" w:type="dxa"/>
            <w:tcBorders>
              <w:top w:val="single" w:sz="4" w:space="0" w:color="000000"/>
              <w:left w:val="single" w:sz="4" w:space="0" w:color="000000"/>
              <w:bottom w:val="single" w:sz="4" w:space="0" w:color="000000"/>
              <w:right w:val="single" w:sz="4" w:space="0" w:color="000000"/>
            </w:tcBorders>
            <w:vAlign w:val="center"/>
          </w:tcPr>
          <w:p w14:paraId="638649E0"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南方基金</w:t>
            </w:r>
          </w:p>
        </w:tc>
      </w:tr>
      <w:tr w:rsidR="00BA7C14" w14:paraId="4689852B"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29150124"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18</w:t>
            </w:r>
          </w:p>
        </w:tc>
        <w:tc>
          <w:tcPr>
            <w:tcW w:w="4909" w:type="dxa"/>
            <w:tcBorders>
              <w:top w:val="single" w:sz="4" w:space="0" w:color="000000"/>
              <w:left w:val="single" w:sz="4" w:space="0" w:color="000000"/>
              <w:bottom w:val="single" w:sz="4" w:space="0" w:color="000000"/>
              <w:right w:val="single" w:sz="4" w:space="0" w:color="000000"/>
            </w:tcBorders>
            <w:vAlign w:val="center"/>
          </w:tcPr>
          <w:p w14:paraId="05BF0701"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宁银理财</w:t>
            </w:r>
          </w:p>
        </w:tc>
      </w:tr>
      <w:tr w:rsidR="00BA7C14" w14:paraId="11F7C82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6D15F832"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19</w:t>
            </w:r>
          </w:p>
        </w:tc>
        <w:tc>
          <w:tcPr>
            <w:tcW w:w="4909" w:type="dxa"/>
            <w:tcBorders>
              <w:top w:val="single" w:sz="4" w:space="0" w:color="000000"/>
              <w:left w:val="single" w:sz="4" w:space="0" w:color="000000"/>
              <w:bottom w:val="single" w:sz="4" w:space="0" w:color="000000"/>
              <w:right w:val="single" w:sz="4" w:space="0" w:color="000000"/>
            </w:tcBorders>
            <w:vAlign w:val="center"/>
          </w:tcPr>
          <w:p w14:paraId="48E78FAC"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鹏华基金</w:t>
            </w:r>
          </w:p>
        </w:tc>
      </w:tr>
      <w:tr w:rsidR="00BA7C14" w14:paraId="63F03326"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7F7BFEF1" w14:textId="77777777" w:rsidR="00BA7C14" w:rsidRDefault="00000000">
            <w:pPr>
              <w:widowControl/>
              <w:jc w:val="center"/>
              <w:textAlignment w:val="bottom"/>
              <w:rPr>
                <w:rFonts w:ascii="宋体" w:eastAsia="宋体" w:hAnsi="宋体" w:cs="宋体" w:hint="eastAsia"/>
                <w:color w:val="000000"/>
                <w:lang w:val="en-US"/>
              </w:rPr>
            </w:pPr>
            <w:r>
              <w:rPr>
                <w:rFonts w:ascii="宋体" w:eastAsia="宋体" w:hAnsi="宋体" w:cs="宋体" w:hint="eastAsia"/>
                <w:color w:val="000000"/>
                <w:lang w:val="en-US" w:bidi="ar"/>
              </w:rPr>
              <w:t>20</w:t>
            </w:r>
          </w:p>
        </w:tc>
        <w:tc>
          <w:tcPr>
            <w:tcW w:w="4909" w:type="dxa"/>
            <w:tcBorders>
              <w:top w:val="single" w:sz="4" w:space="0" w:color="000000"/>
              <w:left w:val="single" w:sz="4" w:space="0" w:color="000000"/>
              <w:bottom w:val="single" w:sz="4" w:space="0" w:color="000000"/>
              <w:right w:val="single" w:sz="4" w:space="0" w:color="000000"/>
            </w:tcBorders>
            <w:vAlign w:val="center"/>
          </w:tcPr>
          <w:p w14:paraId="6F42EA32"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鹏扬基金</w:t>
            </w:r>
          </w:p>
        </w:tc>
      </w:tr>
      <w:tr w:rsidR="00BA7C14" w14:paraId="57E5F539"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477226CE"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21</w:t>
            </w:r>
          </w:p>
        </w:tc>
        <w:tc>
          <w:tcPr>
            <w:tcW w:w="4909" w:type="dxa"/>
            <w:tcBorders>
              <w:top w:val="single" w:sz="4" w:space="0" w:color="000000"/>
              <w:left w:val="single" w:sz="4" w:space="0" w:color="000000"/>
              <w:bottom w:val="single" w:sz="4" w:space="0" w:color="000000"/>
              <w:right w:val="single" w:sz="4" w:space="0" w:color="000000"/>
            </w:tcBorders>
            <w:vAlign w:val="center"/>
          </w:tcPr>
          <w:p w14:paraId="28682FFE"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平安资管</w:t>
            </w:r>
          </w:p>
        </w:tc>
      </w:tr>
      <w:tr w:rsidR="00BA7C14" w14:paraId="7811C01A"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369E218"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22</w:t>
            </w:r>
          </w:p>
        </w:tc>
        <w:tc>
          <w:tcPr>
            <w:tcW w:w="4909" w:type="dxa"/>
            <w:tcBorders>
              <w:top w:val="single" w:sz="4" w:space="0" w:color="000000"/>
              <w:left w:val="single" w:sz="4" w:space="0" w:color="000000"/>
              <w:bottom w:val="single" w:sz="4" w:space="0" w:color="000000"/>
              <w:right w:val="single" w:sz="4" w:space="0" w:color="000000"/>
            </w:tcBorders>
            <w:vAlign w:val="center"/>
          </w:tcPr>
          <w:p w14:paraId="5F44033F"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人保养老</w:t>
            </w:r>
          </w:p>
        </w:tc>
      </w:tr>
      <w:tr w:rsidR="00BA7C14" w14:paraId="64C02115"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4A70DAEF" w14:textId="77777777" w:rsidR="00BA7C14"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23</w:t>
            </w:r>
          </w:p>
        </w:tc>
        <w:tc>
          <w:tcPr>
            <w:tcW w:w="4909" w:type="dxa"/>
            <w:tcBorders>
              <w:top w:val="single" w:sz="4" w:space="0" w:color="000000"/>
              <w:left w:val="single" w:sz="4" w:space="0" w:color="000000"/>
              <w:bottom w:val="single" w:sz="4" w:space="0" w:color="000000"/>
              <w:right w:val="single" w:sz="4" w:space="0" w:color="000000"/>
            </w:tcBorders>
            <w:vAlign w:val="center"/>
          </w:tcPr>
          <w:p w14:paraId="6FE9C786" w14:textId="77777777" w:rsidR="00BA7C14"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申万宏源证券</w:t>
            </w:r>
          </w:p>
        </w:tc>
      </w:tr>
      <w:tr w:rsidR="00BA7C14" w14:paraId="4F0BC5A8"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2468350E"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24</w:t>
            </w:r>
          </w:p>
        </w:tc>
        <w:tc>
          <w:tcPr>
            <w:tcW w:w="4909" w:type="dxa"/>
            <w:tcBorders>
              <w:top w:val="single" w:sz="4" w:space="0" w:color="000000"/>
              <w:left w:val="single" w:sz="4" w:space="0" w:color="000000"/>
              <w:bottom w:val="single" w:sz="4" w:space="0" w:color="000000"/>
              <w:right w:val="single" w:sz="4" w:space="0" w:color="000000"/>
            </w:tcBorders>
            <w:vAlign w:val="center"/>
          </w:tcPr>
          <w:p w14:paraId="16A31728" w14:textId="77777777" w:rsidR="00BA7C14" w:rsidRDefault="00000000">
            <w:pPr>
              <w:widowControl/>
              <w:jc w:val="center"/>
              <w:textAlignment w:val="center"/>
              <w:rPr>
                <w:rFonts w:ascii="宋体" w:eastAsia="宋体" w:hAnsi="宋体" w:cs="宋体" w:hint="eastAsia"/>
                <w:color w:val="000000"/>
                <w:lang w:val="en-US" w:bidi="ar"/>
              </w:rPr>
            </w:pPr>
            <w:r>
              <w:rPr>
                <w:rFonts w:ascii="宋体" w:eastAsia="宋体" w:hAnsi="宋体" w:cs="宋体" w:hint="eastAsia"/>
                <w:color w:val="000000"/>
                <w:lang w:val="en-US" w:bidi="ar"/>
              </w:rPr>
              <w:t>泰康基金</w:t>
            </w:r>
          </w:p>
        </w:tc>
      </w:tr>
      <w:tr w:rsidR="00BA7C14" w14:paraId="4338BD1F"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4DA2AF3B"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25</w:t>
            </w:r>
          </w:p>
        </w:tc>
        <w:tc>
          <w:tcPr>
            <w:tcW w:w="4909" w:type="dxa"/>
            <w:tcBorders>
              <w:top w:val="single" w:sz="4" w:space="0" w:color="000000"/>
              <w:left w:val="single" w:sz="4" w:space="0" w:color="000000"/>
              <w:bottom w:val="single" w:sz="4" w:space="0" w:color="000000"/>
              <w:right w:val="single" w:sz="4" w:space="0" w:color="000000"/>
            </w:tcBorders>
            <w:vAlign w:val="center"/>
          </w:tcPr>
          <w:p w14:paraId="4F04D499"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泰康资产</w:t>
            </w:r>
          </w:p>
        </w:tc>
      </w:tr>
      <w:tr w:rsidR="00BA7C14" w14:paraId="2D061523"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433808BE"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26</w:t>
            </w:r>
          </w:p>
        </w:tc>
        <w:tc>
          <w:tcPr>
            <w:tcW w:w="4909" w:type="dxa"/>
            <w:tcBorders>
              <w:top w:val="single" w:sz="4" w:space="0" w:color="000000"/>
              <w:left w:val="single" w:sz="4" w:space="0" w:color="000000"/>
              <w:bottom w:val="single" w:sz="4" w:space="0" w:color="000000"/>
              <w:right w:val="single" w:sz="4" w:space="0" w:color="000000"/>
            </w:tcBorders>
            <w:vAlign w:val="center"/>
          </w:tcPr>
          <w:p w14:paraId="3286DA26" w14:textId="77777777" w:rsidR="00BA7C14" w:rsidRDefault="00000000">
            <w:pPr>
              <w:widowControl/>
              <w:jc w:val="center"/>
              <w:textAlignment w:val="center"/>
              <w:rPr>
                <w:rFonts w:ascii="宋体" w:eastAsia="宋体" w:hAnsi="宋体" w:cs="宋体" w:hint="eastAsia"/>
                <w:color w:val="000000"/>
                <w:lang w:val="en-US" w:bidi="ar"/>
              </w:rPr>
            </w:pPr>
            <w:r>
              <w:rPr>
                <w:rFonts w:ascii="宋体" w:eastAsia="宋体" w:hAnsi="宋体" w:cs="宋体" w:hint="eastAsia"/>
                <w:color w:val="000000"/>
                <w:lang w:val="en-US" w:bidi="ar"/>
              </w:rPr>
              <w:t>天弘基金</w:t>
            </w:r>
          </w:p>
        </w:tc>
      </w:tr>
      <w:tr w:rsidR="00BA7C14" w14:paraId="2229D631"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28CCA36B"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27</w:t>
            </w:r>
          </w:p>
        </w:tc>
        <w:tc>
          <w:tcPr>
            <w:tcW w:w="4909" w:type="dxa"/>
            <w:tcBorders>
              <w:top w:val="single" w:sz="4" w:space="0" w:color="000000"/>
              <w:left w:val="single" w:sz="4" w:space="0" w:color="000000"/>
              <w:bottom w:val="single" w:sz="4" w:space="0" w:color="000000"/>
              <w:right w:val="single" w:sz="4" w:space="0" w:color="000000"/>
            </w:tcBorders>
            <w:vAlign w:val="center"/>
          </w:tcPr>
          <w:p w14:paraId="3D984058"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盈峰资本</w:t>
            </w:r>
          </w:p>
        </w:tc>
      </w:tr>
      <w:tr w:rsidR="00BA7C14" w14:paraId="3A21FE2F"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6DBBE4EE"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28</w:t>
            </w:r>
          </w:p>
        </w:tc>
        <w:tc>
          <w:tcPr>
            <w:tcW w:w="4909" w:type="dxa"/>
            <w:tcBorders>
              <w:top w:val="single" w:sz="4" w:space="0" w:color="000000"/>
              <w:left w:val="single" w:sz="4" w:space="0" w:color="000000"/>
              <w:bottom w:val="single" w:sz="4" w:space="0" w:color="000000"/>
              <w:right w:val="single" w:sz="4" w:space="0" w:color="000000"/>
            </w:tcBorders>
            <w:vAlign w:val="center"/>
          </w:tcPr>
          <w:p w14:paraId="26AED78F"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永赢基金</w:t>
            </w:r>
          </w:p>
        </w:tc>
      </w:tr>
      <w:tr w:rsidR="00BA7C14" w14:paraId="4E0DFE95"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396AB664"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29</w:t>
            </w:r>
          </w:p>
        </w:tc>
        <w:tc>
          <w:tcPr>
            <w:tcW w:w="4909" w:type="dxa"/>
            <w:tcBorders>
              <w:top w:val="single" w:sz="4" w:space="0" w:color="000000"/>
              <w:left w:val="single" w:sz="4" w:space="0" w:color="000000"/>
              <w:bottom w:val="single" w:sz="4" w:space="0" w:color="000000"/>
              <w:right w:val="single" w:sz="4" w:space="0" w:color="000000"/>
            </w:tcBorders>
            <w:vAlign w:val="center"/>
          </w:tcPr>
          <w:p w14:paraId="373FDBAD"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招商证券</w:t>
            </w:r>
          </w:p>
        </w:tc>
      </w:tr>
      <w:tr w:rsidR="00BA7C14" w14:paraId="6353321E"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69B0B548"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30</w:t>
            </w:r>
          </w:p>
        </w:tc>
        <w:tc>
          <w:tcPr>
            <w:tcW w:w="4909" w:type="dxa"/>
            <w:tcBorders>
              <w:top w:val="single" w:sz="4" w:space="0" w:color="000000"/>
              <w:left w:val="single" w:sz="4" w:space="0" w:color="000000"/>
              <w:bottom w:val="single" w:sz="4" w:space="0" w:color="000000"/>
              <w:right w:val="single" w:sz="4" w:space="0" w:color="000000"/>
            </w:tcBorders>
            <w:vAlign w:val="center"/>
          </w:tcPr>
          <w:p w14:paraId="7ED0697C" w14:textId="77777777" w:rsidR="00BA7C14" w:rsidRDefault="00000000">
            <w:pPr>
              <w:widowControl/>
              <w:jc w:val="center"/>
              <w:textAlignment w:val="center"/>
              <w:rPr>
                <w:rFonts w:ascii="宋体" w:eastAsia="宋体" w:hAnsi="宋体" w:cs="宋体" w:hint="eastAsia"/>
                <w:color w:val="000000"/>
                <w:lang w:val="en-US" w:bidi="ar"/>
              </w:rPr>
            </w:pPr>
            <w:r>
              <w:rPr>
                <w:rFonts w:ascii="宋体" w:eastAsia="宋体" w:hAnsi="宋体" w:cs="宋体" w:hint="eastAsia"/>
                <w:color w:val="000000"/>
                <w:lang w:val="en-US" w:bidi="ar"/>
              </w:rPr>
              <w:t>浙商证券</w:t>
            </w:r>
          </w:p>
        </w:tc>
      </w:tr>
      <w:tr w:rsidR="00BA7C14" w14:paraId="6BA37E38"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2C43E0A2"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31</w:t>
            </w:r>
          </w:p>
        </w:tc>
        <w:tc>
          <w:tcPr>
            <w:tcW w:w="4909" w:type="dxa"/>
            <w:tcBorders>
              <w:top w:val="single" w:sz="4" w:space="0" w:color="000000"/>
              <w:left w:val="single" w:sz="4" w:space="0" w:color="000000"/>
              <w:bottom w:val="single" w:sz="4" w:space="0" w:color="000000"/>
              <w:right w:val="single" w:sz="4" w:space="0" w:color="000000"/>
            </w:tcBorders>
            <w:vAlign w:val="center"/>
          </w:tcPr>
          <w:p w14:paraId="26ADA193" w14:textId="77777777" w:rsidR="00BA7C14" w:rsidRDefault="00000000">
            <w:pPr>
              <w:widowControl/>
              <w:jc w:val="center"/>
              <w:textAlignment w:val="center"/>
              <w:rPr>
                <w:rFonts w:ascii="宋体" w:eastAsia="宋体" w:hAnsi="宋体" w:cs="宋体" w:hint="eastAsia"/>
                <w:color w:val="000000"/>
                <w:lang w:val="en-US" w:bidi="ar"/>
              </w:rPr>
            </w:pPr>
            <w:r>
              <w:rPr>
                <w:rFonts w:ascii="宋体" w:eastAsia="宋体" w:hAnsi="宋体" w:cs="宋体" w:hint="eastAsia"/>
                <w:color w:val="000000"/>
                <w:lang w:val="en-US" w:bidi="ar"/>
              </w:rPr>
              <w:t>中大君悦投资</w:t>
            </w:r>
          </w:p>
        </w:tc>
      </w:tr>
      <w:tr w:rsidR="00BA7C14" w14:paraId="4505B946"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03B4F296"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32</w:t>
            </w:r>
          </w:p>
        </w:tc>
        <w:tc>
          <w:tcPr>
            <w:tcW w:w="4909" w:type="dxa"/>
            <w:tcBorders>
              <w:top w:val="single" w:sz="4" w:space="0" w:color="000000"/>
              <w:left w:val="single" w:sz="4" w:space="0" w:color="000000"/>
              <w:bottom w:val="single" w:sz="4" w:space="0" w:color="000000"/>
              <w:right w:val="single" w:sz="4" w:space="0" w:color="000000"/>
            </w:tcBorders>
            <w:vAlign w:val="center"/>
          </w:tcPr>
          <w:p w14:paraId="379BB285" w14:textId="77777777" w:rsidR="00BA7C14" w:rsidRDefault="00000000">
            <w:pPr>
              <w:widowControl/>
              <w:jc w:val="center"/>
              <w:textAlignment w:val="center"/>
              <w:rPr>
                <w:rFonts w:ascii="宋体" w:eastAsia="宋体" w:hAnsi="宋体" w:cs="宋体" w:hint="eastAsia"/>
                <w:color w:val="000000"/>
                <w:lang w:val="en-US" w:bidi="ar"/>
              </w:rPr>
            </w:pPr>
            <w:r>
              <w:rPr>
                <w:rFonts w:ascii="宋体" w:eastAsia="宋体" w:hAnsi="宋体" w:cs="宋体" w:hint="eastAsia"/>
                <w:color w:val="000000"/>
                <w:lang w:val="en-US" w:bidi="ar"/>
              </w:rPr>
              <w:t>中欧基金</w:t>
            </w:r>
          </w:p>
        </w:tc>
      </w:tr>
      <w:tr w:rsidR="00BA7C14" w14:paraId="79B112E5"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06340A6F"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33</w:t>
            </w:r>
          </w:p>
        </w:tc>
        <w:tc>
          <w:tcPr>
            <w:tcW w:w="4909" w:type="dxa"/>
            <w:tcBorders>
              <w:top w:val="single" w:sz="4" w:space="0" w:color="000000"/>
              <w:left w:val="single" w:sz="4" w:space="0" w:color="000000"/>
              <w:bottom w:val="single" w:sz="4" w:space="0" w:color="000000"/>
              <w:right w:val="single" w:sz="4" w:space="0" w:color="000000"/>
            </w:tcBorders>
            <w:vAlign w:val="center"/>
          </w:tcPr>
          <w:p w14:paraId="41B3C097"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中信建投证券</w:t>
            </w:r>
          </w:p>
        </w:tc>
      </w:tr>
      <w:tr w:rsidR="00BA7C14" w14:paraId="294622AD"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6EDE596D"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34</w:t>
            </w:r>
          </w:p>
        </w:tc>
        <w:tc>
          <w:tcPr>
            <w:tcW w:w="4909" w:type="dxa"/>
            <w:tcBorders>
              <w:top w:val="single" w:sz="4" w:space="0" w:color="000000"/>
              <w:left w:val="single" w:sz="4" w:space="0" w:color="000000"/>
              <w:bottom w:val="single" w:sz="4" w:space="0" w:color="000000"/>
              <w:right w:val="single" w:sz="4" w:space="0" w:color="000000"/>
            </w:tcBorders>
            <w:vAlign w:val="center"/>
          </w:tcPr>
          <w:p w14:paraId="222D9F49" w14:textId="77777777" w:rsidR="00BA7C14"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中信资管</w:t>
            </w:r>
          </w:p>
        </w:tc>
      </w:tr>
    </w:tbl>
    <w:p w14:paraId="68C26DE9" w14:textId="77777777" w:rsidR="00BA7C14" w:rsidRDefault="00BA7C14">
      <w:pPr>
        <w:rPr>
          <w:rFonts w:ascii="宋体" w:eastAsia="宋体" w:hAnsi="宋体" w:cs="宋体" w:hint="eastAsia"/>
          <w:b/>
          <w:bCs/>
          <w:sz w:val="24"/>
          <w:szCs w:val="24"/>
          <w:lang w:val="en-US"/>
        </w:rPr>
      </w:pPr>
    </w:p>
    <w:sectPr w:rsidR="00BA7C14">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642F" w14:textId="77777777" w:rsidR="00355E23" w:rsidRDefault="00355E23">
      <w:pPr>
        <w:rPr>
          <w:rFonts w:hint="eastAsia"/>
        </w:rPr>
      </w:pPr>
      <w:r>
        <w:separator/>
      </w:r>
    </w:p>
  </w:endnote>
  <w:endnote w:type="continuationSeparator" w:id="0">
    <w:p w14:paraId="1B2B2F30" w14:textId="77777777" w:rsidR="00355E23" w:rsidRDefault="00355E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85512"/>
    </w:sdtPr>
    <w:sdtContent>
      <w:p w14:paraId="49DB1319" w14:textId="77777777" w:rsidR="00BA7C14" w:rsidRDefault="00000000">
        <w:pPr>
          <w:pStyle w:val="a8"/>
          <w:jc w:val="center"/>
          <w:rPr>
            <w:rFonts w:hint="eastAsia"/>
          </w:rPr>
        </w:pPr>
        <w:r>
          <w:fldChar w:fldCharType="begin"/>
        </w:r>
        <w:r>
          <w:instrText>PAGE   \* MERGEFORMAT</w:instrText>
        </w:r>
        <w:r>
          <w:fldChar w:fldCharType="separate"/>
        </w:r>
        <w:r>
          <w:t>2</w:t>
        </w:r>
        <w:r>
          <w:fldChar w:fldCharType="end"/>
        </w:r>
      </w:p>
    </w:sdtContent>
  </w:sdt>
  <w:p w14:paraId="254902B2" w14:textId="77777777" w:rsidR="00BA7C14" w:rsidRDefault="00BA7C14">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4F44" w14:textId="77777777" w:rsidR="00355E23" w:rsidRDefault="00355E23">
      <w:pPr>
        <w:rPr>
          <w:rFonts w:hint="eastAsia"/>
        </w:rPr>
      </w:pPr>
      <w:r>
        <w:separator/>
      </w:r>
    </w:p>
  </w:footnote>
  <w:footnote w:type="continuationSeparator" w:id="0">
    <w:p w14:paraId="1115E56A" w14:textId="77777777" w:rsidR="00355E23" w:rsidRDefault="00355E2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761F8D"/>
    <w:multiLevelType w:val="singleLevel"/>
    <w:tmpl w:val="8E761F8D"/>
    <w:lvl w:ilvl="0">
      <w:start w:val="8"/>
      <w:numFmt w:val="decimal"/>
      <w:lvlText w:val="%1."/>
      <w:lvlJc w:val="left"/>
      <w:pPr>
        <w:tabs>
          <w:tab w:val="left" w:pos="312"/>
        </w:tabs>
      </w:pPr>
    </w:lvl>
  </w:abstractNum>
  <w:abstractNum w:abstractNumId="1" w15:restartNumberingAfterBreak="0">
    <w:nsid w:val="A143A202"/>
    <w:multiLevelType w:val="singleLevel"/>
    <w:tmpl w:val="A143A202"/>
    <w:lvl w:ilvl="0">
      <w:start w:val="1"/>
      <w:numFmt w:val="decimal"/>
      <w:suff w:val="nothing"/>
      <w:lvlText w:val="（%1）"/>
      <w:lvlJc w:val="left"/>
    </w:lvl>
  </w:abstractNum>
  <w:abstractNum w:abstractNumId="2" w15:restartNumberingAfterBreak="0">
    <w:nsid w:val="1547B49D"/>
    <w:multiLevelType w:val="singleLevel"/>
    <w:tmpl w:val="1547B49D"/>
    <w:lvl w:ilvl="0">
      <w:start w:val="1"/>
      <w:numFmt w:val="decimal"/>
      <w:suff w:val="nothing"/>
      <w:lvlText w:val="（%1）"/>
      <w:lvlJc w:val="left"/>
    </w:lvl>
  </w:abstractNum>
  <w:abstractNum w:abstractNumId="3" w15:restartNumberingAfterBreak="0">
    <w:nsid w:val="5BFFB8DE"/>
    <w:multiLevelType w:val="singleLevel"/>
    <w:tmpl w:val="5BFFB8DE"/>
    <w:lvl w:ilvl="0">
      <w:start w:val="1"/>
      <w:numFmt w:val="decimal"/>
      <w:lvlText w:val="%1."/>
      <w:lvlJc w:val="left"/>
      <w:pPr>
        <w:tabs>
          <w:tab w:val="left" w:pos="312"/>
        </w:tabs>
        <w:ind w:left="0" w:firstLine="0"/>
      </w:pPr>
      <w:rPr>
        <w:rFonts w:hint="eastAsia"/>
      </w:rPr>
    </w:lvl>
  </w:abstractNum>
  <w:abstractNum w:abstractNumId="4" w15:restartNumberingAfterBreak="0">
    <w:nsid w:val="68F71358"/>
    <w:multiLevelType w:val="singleLevel"/>
    <w:tmpl w:val="68F71358"/>
    <w:lvl w:ilvl="0">
      <w:start w:val="4"/>
      <w:numFmt w:val="decimal"/>
      <w:lvlText w:val="%1."/>
      <w:lvlJc w:val="left"/>
      <w:pPr>
        <w:tabs>
          <w:tab w:val="left" w:pos="312"/>
        </w:tabs>
      </w:pPr>
    </w:lvl>
  </w:abstractNum>
  <w:abstractNum w:abstractNumId="5" w15:restartNumberingAfterBreak="0">
    <w:nsid w:val="72300A4C"/>
    <w:multiLevelType w:val="singleLevel"/>
    <w:tmpl w:val="72300A4C"/>
    <w:lvl w:ilvl="0">
      <w:start w:val="1"/>
      <w:numFmt w:val="decimal"/>
      <w:suff w:val="nothing"/>
      <w:lvlText w:val="（%1）"/>
      <w:lvlJc w:val="left"/>
    </w:lvl>
  </w:abstractNum>
  <w:num w:numId="1" w16cid:durableId="1749300360">
    <w:abstractNumId w:val="3"/>
  </w:num>
  <w:num w:numId="2" w16cid:durableId="899290513">
    <w:abstractNumId w:val="4"/>
  </w:num>
  <w:num w:numId="3" w16cid:durableId="826165491">
    <w:abstractNumId w:val="5"/>
  </w:num>
  <w:num w:numId="4" w16cid:durableId="41829274">
    <w:abstractNumId w:val="2"/>
  </w:num>
  <w:num w:numId="5" w16cid:durableId="1240671264">
    <w:abstractNumId w:val="0"/>
  </w:num>
  <w:num w:numId="6" w16cid:durableId="213590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1"/>
    <w:rsid w:val="00010492"/>
    <w:rsid w:val="0001603C"/>
    <w:rsid w:val="00021347"/>
    <w:rsid w:val="0004574E"/>
    <w:rsid w:val="00046AE9"/>
    <w:rsid w:val="00053DDE"/>
    <w:rsid w:val="00061767"/>
    <w:rsid w:val="0008328B"/>
    <w:rsid w:val="00091113"/>
    <w:rsid w:val="00096A41"/>
    <w:rsid w:val="000B3B67"/>
    <w:rsid w:val="000B419B"/>
    <w:rsid w:val="000B69B7"/>
    <w:rsid w:val="000E051D"/>
    <w:rsid w:val="000E47E6"/>
    <w:rsid w:val="000F3878"/>
    <w:rsid w:val="0012745D"/>
    <w:rsid w:val="0012788F"/>
    <w:rsid w:val="001519ED"/>
    <w:rsid w:val="00164A6C"/>
    <w:rsid w:val="001768FA"/>
    <w:rsid w:val="00186AF1"/>
    <w:rsid w:val="001914F4"/>
    <w:rsid w:val="0019534C"/>
    <w:rsid w:val="001A25E6"/>
    <w:rsid w:val="001A7E85"/>
    <w:rsid w:val="001C188E"/>
    <w:rsid w:val="001D07B1"/>
    <w:rsid w:val="001D7D62"/>
    <w:rsid w:val="001E01C7"/>
    <w:rsid w:val="001E73F4"/>
    <w:rsid w:val="00205F09"/>
    <w:rsid w:val="00210D6E"/>
    <w:rsid w:val="00235AB3"/>
    <w:rsid w:val="00237D2B"/>
    <w:rsid w:val="002413EB"/>
    <w:rsid w:val="002440DF"/>
    <w:rsid w:val="002603AB"/>
    <w:rsid w:val="00264984"/>
    <w:rsid w:val="00267B05"/>
    <w:rsid w:val="00272904"/>
    <w:rsid w:val="00275DA1"/>
    <w:rsid w:val="002770C8"/>
    <w:rsid w:val="00283E20"/>
    <w:rsid w:val="0029054A"/>
    <w:rsid w:val="00293EB9"/>
    <w:rsid w:val="002A1600"/>
    <w:rsid w:val="002C6DAB"/>
    <w:rsid w:val="002E6A2A"/>
    <w:rsid w:val="002E7260"/>
    <w:rsid w:val="002F3917"/>
    <w:rsid w:val="002F6FB7"/>
    <w:rsid w:val="00310B59"/>
    <w:rsid w:val="00312F5A"/>
    <w:rsid w:val="0035345E"/>
    <w:rsid w:val="00355E23"/>
    <w:rsid w:val="00356668"/>
    <w:rsid w:val="00356776"/>
    <w:rsid w:val="003A220C"/>
    <w:rsid w:val="003C5226"/>
    <w:rsid w:val="003F0FA2"/>
    <w:rsid w:val="004113FE"/>
    <w:rsid w:val="004152E8"/>
    <w:rsid w:val="00416D06"/>
    <w:rsid w:val="00427ED6"/>
    <w:rsid w:val="00456603"/>
    <w:rsid w:val="004720C6"/>
    <w:rsid w:val="00475C23"/>
    <w:rsid w:val="0047612C"/>
    <w:rsid w:val="00492859"/>
    <w:rsid w:val="004E7F24"/>
    <w:rsid w:val="00506B46"/>
    <w:rsid w:val="00515247"/>
    <w:rsid w:val="00550B7C"/>
    <w:rsid w:val="00555B2F"/>
    <w:rsid w:val="005624B8"/>
    <w:rsid w:val="00570F1A"/>
    <w:rsid w:val="00572767"/>
    <w:rsid w:val="00585A69"/>
    <w:rsid w:val="00586491"/>
    <w:rsid w:val="005B21F5"/>
    <w:rsid w:val="005B6772"/>
    <w:rsid w:val="005B6E87"/>
    <w:rsid w:val="005D6DE1"/>
    <w:rsid w:val="005E0D1D"/>
    <w:rsid w:val="005E2AE8"/>
    <w:rsid w:val="005E7CC0"/>
    <w:rsid w:val="005F6E16"/>
    <w:rsid w:val="00603011"/>
    <w:rsid w:val="00605C6A"/>
    <w:rsid w:val="00630C2B"/>
    <w:rsid w:val="006420FE"/>
    <w:rsid w:val="00644CD5"/>
    <w:rsid w:val="006531CE"/>
    <w:rsid w:val="0065370D"/>
    <w:rsid w:val="00666B5F"/>
    <w:rsid w:val="006715BD"/>
    <w:rsid w:val="0068529C"/>
    <w:rsid w:val="006966B2"/>
    <w:rsid w:val="00697613"/>
    <w:rsid w:val="006A2610"/>
    <w:rsid w:val="006B5CB7"/>
    <w:rsid w:val="006C3413"/>
    <w:rsid w:val="006D5A0A"/>
    <w:rsid w:val="006F2462"/>
    <w:rsid w:val="006F4569"/>
    <w:rsid w:val="006F7EBA"/>
    <w:rsid w:val="00736089"/>
    <w:rsid w:val="0074539D"/>
    <w:rsid w:val="007540C4"/>
    <w:rsid w:val="00757D23"/>
    <w:rsid w:val="0078041F"/>
    <w:rsid w:val="00785958"/>
    <w:rsid w:val="007978A4"/>
    <w:rsid w:val="007A131A"/>
    <w:rsid w:val="007A179F"/>
    <w:rsid w:val="007A4C4E"/>
    <w:rsid w:val="007D167A"/>
    <w:rsid w:val="007D66CD"/>
    <w:rsid w:val="00841A24"/>
    <w:rsid w:val="008530F3"/>
    <w:rsid w:val="0085727B"/>
    <w:rsid w:val="00866B6B"/>
    <w:rsid w:val="008A5CF8"/>
    <w:rsid w:val="008C33B1"/>
    <w:rsid w:val="008D5F0B"/>
    <w:rsid w:val="008F37DC"/>
    <w:rsid w:val="008F52A5"/>
    <w:rsid w:val="008F54FD"/>
    <w:rsid w:val="008F796C"/>
    <w:rsid w:val="009110D6"/>
    <w:rsid w:val="00922174"/>
    <w:rsid w:val="00924382"/>
    <w:rsid w:val="0092517F"/>
    <w:rsid w:val="00926828"/>
    <w:rsid w:val="009329D0"/>
    <w:rsid w:val="0095750D"/>
    <w:rsid w:val="00967E1E"/>
    <w:rsid w:val="0097117B"/>
    <w:rsid w:val="00980480"/>
    <w:rsid w:val="00995182"/>
    <w:rsid w:val="009A39AE"/>
    <w:rsid w:val="009C3D53"/>
    <w:rsid w:val="009F59D0"/>
    <w:rsid w:val="00A05EF7"/>
    <w:rsid w:val="00A477D8"/>
    <w:rsid w:val="00A52A51"/>
    <w:rsid w:val="00A71181"/>
    <w:rsid w:val="00A73FB7"/>
    <w:rsid w:val="00A97D67"/>
    <w:rsid w:val="00AA4E77"/>
    <w:rsid w:val="00AA738C"/>
    <w:rsid w:val="00AC0D8B"/>
    <w:rsid w:val="00AF0C76"/>
    <w:rsid w:val="00AF53BB"/>
    <w:rsid w:val="00B14C80"/>
    <w:rsid w:val="00B5143F"/>
    <w:rsid w:val="00B5209F"/>
    <w:rsid w:val="00B66A63"/>
    <w:rsid w:val="00B81501"/>
    <w:rsid w:val="00BA7C14"/>
    <w:rsid w:val="00BB26E0"/>
    <w:rsid w:val="00BB770E"/>
    <w:rsid w:val="00BC2986"/>
    <w:rsid w:val="00BD2D5C"/>
    <w:rsid w:val="00BE4571"/>
    <w:rsid w:val="00BF03C9"/>
    <w:rsid w:val="00CB259D"/>
    <w:rsid w:val="00CB72BC"/>
    <w:rsid w:val="00CC47DD"/>
    <w:rsid w:val="00D0144C"/>
    <w:rsid w:val="00D03E4D"/>
    <w:rsid w:val="00D04C38"/>
    <w:rsid w:val="00D17A2E"/>
    <w:rsid w:val="00D348C5"/>
    <w:rsid w:val="00D35E79"/>
    <w:rsid w:val="00D71589"/>
    <w:rsid w:val="00D806E0"/>
    <w:rsid w:val="00D8532A"/>
    <w:rsid w:val="00D87DF5"/>
    <w:rsid w:val="00DB1D01"/>
    <w:rsid w:val="00DE15E2"/>
    <w:rsid w:val="00DF0729"/>
    <w:rsid w:val="00E001E3"/>
    <w:rsid w:val="00E26F20"/>
    <w:rsid w:val="00E409FE"/>
    <w:rsid w:val="00E40B9E"/>
    <w:rsid w:val="00E46B0B"/>
    <w:rsid w:val="00E576A3"/>
    <w:rsid w:val="00E63EBE"/>
    <w:rsid w:val="00E643D3"/>
    <w:rsid w:val="00E912D2"/>
    <w:rsid w:val="00E93E51"/>
    <w:rsid w:val="00E95024"/>
    <w:rsid w:val="00EB48FE"/>
    <w:rsid w:val="00EB617C"/>
    <w:rsid w:val="00ED4917"/>
    <w:rsid w:val="00ED50DF"/>
    <w:rsid w:val="00EE2053"/>
    <w:rsid w:val="00EF12C5"/>
    <w:rsid w:val="00F113A1"/>
    <w:rsid w:val="00F423C5"/>
    <w:rsid w:val="00F445C1"/>
    <w:rsid w:val="00F448F3"/>
    <w:rsid w:val="00F570DF"/>
    <w:rsid w:val="00F60E0E"/>
    <w:rsid w:val="00F856C1"/>
    <w:rsid w:val="00FA244A"/>
    <w:rsid w:val="00FA5DAC"/>
    <w:rsid w:val="00FE272B"/>
    <w:rsid w:val="00FF049D"/>
    <w:rsid w:val="00FF77A3"/>
    <w:rsid w:val="013F0B6D"/>
    <w:rsid w:val="016407A7"/>
    <w:rsid w:val="01710365"/>
    <w:rsid w:val="01EC0DE3"/>
    <w:rsid w:val="023623DF"/>
    <w:rsid w:val="025F4662"/>
    <w:rsid w:val="04363AE8"/>
    <w:rsid w:val="04A51736"/>
    <w:rsid w:val="04E83035"/>
    <w:rsid w:val="05467D5B"/>
    <w:rsid w:val="0667442D"/>
    <w:rsid w:val="06CE1DB6"/>
    <w:rsid w:val="07B23486"/>
    <w:rsid w:val="08955DE8"/>
    <w:rsid w:val="08D062B9"/>
    <w:rsid w:val="08DA0EE6"/>
    <w:rsid w:val="096C2D7F"/>
    <w:rsid w:val="09D750A5"/>
    <w:rsid w:val="0A3208AE"/>
    <w:rsid w:val="0BCD4D32"/>
    <w:rsid w:val="0CEA5470"/>
    <w:rsid w:val="0D533D0D"/>
    <w:rsid w:val="0E15651D"/>
    <w:rsid w:val="0E5057A7"/>
    <w:rsid w:val="0ECF2B6F"/>
    <w:rsid w:val="0F9C5147"/>
    <w:rsid w:val="107514F4"/>
    <w:rsid w:val="12745F08"/>
    <w:rsid w:val="12987560"/>
    <w:rsid w:val="12B10F0A"/>
    <w:rsid w:val="12BE53D5"/>
    <w:rsid w:val="13780B86"/>
    <w:rsid w:val="13B56D71"/>
    <w:rsid w:val="146855F8"/>
    <w:rsid w:val="14A800EA"/>
    <w:rsid w:val="14E804E7"/>
    <w:rsid w:val="153C5E15"/>
    <w:rsid w:val="193463F1"/>
    <w:rsid w:val="1A732F49"/>
    <w:rsid w:val="1B225189"/>
    <w:rsid w:val="1BBC26CD"/>
    <w:rsid w:val="1CBF2FF6"/>
    <w:rsid w:val="1CF30371"/>
    <w:rsid w:val="1D7551D2"/>
    <w:rsid w:val="1DF0041A"/>
    <w:rsid w:val="1FC63103"/>
    <w:rsid w:val="20D81D57"/>
    <w:rsid w:val="20FB6928"/>
    <w:rsid w:val="20FE1268"/>
    <w:rsid w:val="221C2118"/>
    <w:rsid w:val="239C07D8"/>
    <w:rsid w:val="242F7EE0"/>
    <w:rsid w:val="244D65B8"/>
    <w:rsid w:val="26416061"/>
    <w:rsid w:val="270218DC"/>
    <w:rsid w:val="2702368A"/>
    <w:rsid w:val="271A2793"/>
    <w:rsid w:val="27B70AB5"/>
    <w:rsid w:val="2A273105"/>
    <w:rsid w:val="2A295AED"/>
    <w:rsid w:val="2AC31D70"/>
    <w:rsid w:val="2B033E75"/>
    <w:rsid w:val="2BEE0681"/>
    <w:rsid w:val="2D5B3129"/>
    <w:rsid w:val="2D766B80"/>
    <w:rsid w:val="2D986AF6"/>
    <w:rsid w:val="2EA15E7F"/>
    <w:rsid w:val="2F860BD0"/>
    <w:rsid w:val="2FE36023"/>
    <w:rsid w:val="301A6009"/>
    <w:rsid w:val="30BA09FB"/>
    <w:rsid w:val="316E7B6E"/>
    <w:rsid w:val="31EE2758"/>
    <w:rsid w:val="3267118D"/>
    <w:rsid w:val="32D97AC0"/>
    <w:rsid w:val="32E53E60"/>
    <w:rsid w:val="33122C98"/>
    <w:rsid w:val="34AB1673"/>
    <w:rsid w:val="355C2AFF"/>
    <w:rsid w:val="36914AC3"/>
    <w:rsid w:val="373F7FE3"/>
    <w:rsid w:val="37513472"/>
    <w:rsid w:val="375A12C0"/>
    <w:rsid w:val="37902946"/>
    <w:rsid w:val="37971BCD"/>
    <w:rsid w:val="37D050DF"/>
    <w:rsid w:val="39074B30"/>
    <w:rsid w:val="391D07F7"/>
    <w:rsid w:val="3A716DDB"/>
    <w:rsid w:val="3A79380C"/>
    <w:rsid w:val="3AD30AAD"/>
    <w:rsid w:val="3B2A24ED"/>
    <w:rsid w:val="3B471B5C"/>
    <w:rsid w:val="3B64626A"/>
    <w:rsid w:val="3CDE204C"/>
    <w:rsid w:val="3DEE4511"/>
    <w:rsid w:val="3E5C76CC"/>
    <w:rsid w:val="3E867169"/>
    <w:rsid w:val="40FC6F44"/>
    <w:rsid w:val="414D154E"/>
    <w:rsid w:val="41764F49"/>
    <w:rsid w:val="41DD28D2"/>
    <w:rsid w:val="42AE24C0"/>
    <w:rsid w:val="43931DE2"/>
    <w:rsid w:val="43F542D4"/>
    <w:rsid w:val="442E38B9"/>
    <w:rsid w:val="44BF0181"/>
    <w:rsid w:val="44C379A3"/>
    <w:rsid w:val="44F543D6"/>
    <w:rsid w:val="45120AE5"/>
    <w:rsid w:val="456450B8"/>
    <w:rsid w:val="45F34DBA"/>
    <w:rsid w:val="461D1E37"/>
    <w:rsid w:val="49995AD8"/>
    <w:rsid w:val="49F572F3"/>
    <w:rsid w:val="4A331C29"/>
    <w:rsid w:val="4B3519D1"/>
    <w:rsid w:val="4B6E6C91"/>
    <w:rsid w:val="4DA270BE"/>
    <w:rsid w:val="4E1D4541"/>
    <w:rsid w:val="4E45017D"/>
    <w:rsid w:val="4E740A62"/>
    <w:rsid w:val="5030075B"/>
    <w:rsid w:val="50F5758E"/>
    <w:rsid w:val="511544DC"/>
    <w:rsid w:val="51CC4711"/>
    <w:rsid w:val="526E7576"/>
    <w:rsid w:val="52D376E2"/>
    <w:rsid w:val="533B38FC"/>
    <w:rsid w:val="534C7720"/>
    <w:rsid w:val="5382152B"/>
    <w:rsid w:val="553D6107"/>
    <w:rsid w:val="557856A7"/>
    <w:rsid w:val="56CE6A8E"/>
    <w:rsid w:val="58CB0C76"/>
    <w:rsid w:val="59576FB6"/>
    <w:rsid w:val="5991283D"/>
    <w:rsid w:val="5AE96334"/>
    <w:rsid w:val="5B04316E"/>
    <w:rsid w:val="5B9C33A6"/>
    <w:rsid w:val="5BC16969"/>
    <w:rsid w:val="5C166CB5"/>
    <w:rsid w:val="5C8C51C9"/>
    <w:rsid w:val="5D066909"/>
    <w:rsid w:val="5D137698"/>
    <w:rsid w:val="5D316E56"/>
    <w:rsid w:val="5D7133D9"/>
    <w:rsid w:val="5E23390B"/>
    <w:rsid w:val="5E784CCF"/>
    <w:rsid w:val="5E7F123B"/>
    <w:rsid w:val="5F3A53B0"/>
    <w:rsid w:val="5F3B3668"/>
    <w:rsid w:val="5F4609F6"/>
    <w:rsid w:val="5F5C70D4"/>
    <w:rsid w:val="5FD44EBD"/>
    <w:rsid w:val="603E4A2C"/>
    <w:rsid w:val="60A07495"/>
    <w:rsid w:val="642B4D28"/>
    <w:rsid w:val="64393E88"/>
    <w:rsid w:val="644A7E43"/>
    <w:rsid w:val="64502E6A"/>
    <w:rsid w:val="64AA1D6F"/>
    <w:rsid w:val="64C9520C"/>
    <w:rsid w:val="657D5FF6"/>
    <w:rsid w:val="666D10DD"/>
    <w:rsid w:val="66D460EA"/>
    <w:rsid w:val="673E5311"/>
    <w:rsid w:val="67C779FD"/>
    <w:rsid w:val="67CE2B39"/>
    <w:rsid w:val="686314D3"/>
    <w:rsid w:val="6974326C"/>
    <w:rsid w:val="69F460FE"/>
    <w:rsid w:val="6A2B07BC"/>
    <w:rsid w:val="6AE306AA"/>
    <w:rsid w:val="6B39651C"/>
    <w:rsid w:val="6BD37796"/>
    <w:rsid w:val="6C5337CF"/>
    <w:rsid w:val="6C726189"/>
    <w:rsid w:val="6CA67BE1"/>
    <w:rsid w:val="6D402A5E"/>
    <w:rsid w:val="6F653D83"/>
    <w:rsid w:val="6FD82D77"/>
    <w:rsid w:val="7007308C"/>
    <w:rsid w:val="706A53C9"/>
    <w:rsid w:val="71330988"/>
    <w:rsid w:val="71687B5B"/>
    <w:rsid w:val="716F2C97"/>
    <w:rsid w:val="71956476"/>
    <w:rsid w:val="71A16BC9"/>
    <w:rsid w:val="72204E44"/>
    <w:rsid w:val="72CE3C4C"/>
    <w:rsid w:val="73E94CF6"/>
    <w:rsid w:val="74A92964"/>
    <w:rsid w:val="755C3532"/>
    <w:rsid w:val="76A076F1"/>
    <w:rsid w:val="76BE1FCB"/>
    <w:rsid w:val="770C3DA7"/>
    <w:rsid w:val="77185065"/>
    <w:rsid w:val="77DD7B29"/>
    <w:rsid w:val="781C57AE"/>
    <w:rsid w:val="78632E2A"/>
    <w:rsid w:val="786B1CDE"/>
    <w:rsid w:val="79116D2A"/>
    <w:rsid w:val="796C5D0E"/>
    <w:rsid w:val="7A6C37AC"/>
    <w:rsid w:val="7AC34054"/>
    <w:rsid w:val="7C3F770A"/>
    <w:rsid w:val="7D3B6123"/>
    <w:rsid w:val="7E853A34"/>
    <w:rsid w:val="7EBE1163"/>
    <w:rsid w:val="7EEB3B79"/>
    <w:rsid w:val="7F0D7F93"/>
    <w:rsid w:val="7F5B0CFF"/>
    <w:rsid w:val="7FF5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ABC5B"/>
  <w15:docId w15:val="{233415DA-6D9F-4068-AA6C-17420D31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qFormat/>
    <w:rPr>
      <w:rFonts w:ascii="PMingLiU" w:eastAsia="PMingLiU" w:hAnsi="PMingLiU" w:cs="PMingLiU"/>
      <w:sz w:val="44"/>
      <w:szCs w:val="44"/>
      <w:lang w:val="zh-CN" w:bidi="zh-CN"/>
    </w:r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zh-CN" w:bidi="zh-CN"/>
    </w:rPr>
  </w:style>
  <w:style w:type="paragraph" w:customStyle="1" w:styleId="Style6">
    <w:name w:val="_Style 6"/>
    <w:basedOn w:val="a"/>
    <w:uiPriority w:val="34"/>
    <w:qFormat/>
    <w:pPr>
      <w:autoSpaceDE/>
      <w:autoSpaceDN/>
      <w:ind w:firstLineChars="200" w:firstLine="420"/>
      <w:jc w:val="both"/>
    </w:pPr>
    <w:rPr>
      <w:rFonts w:ascii="Calibri" w:eastAsia="宋体" w:hAnsi="Calibri" w:cs="Times New Roman"/>
      <w:kern w:val="2"/>
      <w:sz w:val="21"/>
      <w:lang w:val="en-US" w:bidi="ar-SA"/>
    </w:rPr>
  </w:style>
  <w:style w:type="paragraph" w:customStyle="1" w:styleId="11">
    <w:name w:val="修订1"/>
    <w:hidden/>
    <w:uiPriority w:val="99"/>
    <w:unhideWhenUsed/>
    <w:qFormat/>
    <w:rPr>
      <w:rFonts w:ascii="仿宋" w:eastAsia="仿宋" w:hAnsi="仿宋" w:cs="仿宋"/>
      <w:sz w:val="22"/>
      <w:szCs w:val="22"/>
      <w:lang w:val="zh-CN" w:bidi="zh-CN"/>
    </w:rPr>
  </w:style>
  <w:style w:type="paragraph" w:customStyle="1" w:styleId="21">
    <w:name w:val="修订2"/>
    <w:hidden/>
    <w:uiPriority w:val="99"/>
    <w:unhideWhenUsed/>
    <w:qFormat/>
    <w:rPr>
      <w:rFonts w:ascii="仿宋" w:eastAsia="仿宋" w:hAnsi="仿宋" w:cs="仿宋"/>
      <w:sz w:val="22"/>
      <w:szCs w:val="22"/>
      <w:lang w:val="zh-CN" w:bidi="zh-CN"/>
    </w:rPr>
  </w:style>
  <w:style w:type="paragraph" w:customStyle="1" w:styleId="3">
    <w:name w:val="修订3"/>
    <w:hidden/>
    <w:uiPriority w:val="99"/>
    <w:unhideWhenUsed/>
    <w:qFormat/>
    <w:rPr>
      <w:rFonts w:ascii="仿宋" w:eastAsia="仿宋" w:hAnsi="仿宋" w:cs="仿宋"/>
      <w:sz w:val="22"/>
      <w:szCs w:val="22"/>
      <w:lang w:val="zh-CN" w:bidi="zh-CN"/>
    </w:rPr>
  </w:style>
  <w:style w:type="paragraph" w:styleId="af">
    <w:name w:val="List Paragraph"/>
    <w:basedOn w:val="a"/>
    <w:uiPriority w:val="99"/>
    <w:unhideWhenUsed/>
    <w:qFormat/>
    <w:pPr>
      <w:ind w:firstLineChars="200" w:firstLine="420"/>
    </w:pPr>
  </w:style>
  <w:style w:type="paragraph" w:styleId="af0">
    <w:name w:val="Revision"/>
    <w:hidden/>
    <w:uiPriority w:val="99"/>
    <w:unhideWhenUsed/>
    <w:rsid w:val="00061767"/>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8E03-23A0-4B6B-A5B0-0D570AF7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邓攀</cp:lastModifiedBy>
  <cp:revision>35</cp:revision>
  <dcterms:created xsi:type="dcterms:W3CDTF">2025-08-13T07:48:00Z</dcterms:created>
  <dcterms:modified xsi:type="dcterms:W3CDTF">2025-10-30T01:10:00Z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57D148DF2F764966BF4E1C38A6255FA2</vt:lpwstr>
  </property>
  <property fmtid="{D5CDD505-2E9C-101B-9397-08002B2CF9AE}" pid="4" name="KSOTemplateDocerSaveRecord">
    <vt:lpwstr>eyJoZGlkIjoiOTRiYzcwZDJiNDA3NjQ3ZWUzYzg4NDVkMDc2YzU5ZTMiLCJ1c2VySWQiOiIxNzAzMTA5MDM5In0=</vt:lpwstr>
  </property>
</Properties>
</file>