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52DE">
      <w:pPr>
        <w:spacing w:before="277" w:after="120" w:afterLines="50" w:line="360" w:lineRule="auto"/>
        <w:ind w:left="108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z w:val="24"/>
          <w:szCs w:val="24"/>
          <w:lang w:val="en-US" w:eastAsia="zh-CN" w:bidi="ar"/>
        </w:rPr>
        <w:t>证券代码：</w:t>
      </w: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  <w:lang w:val="en-US" w:eastAsia="zh-CN" w:bidi="ar"/>
        </w:rPr>
        <w:t>600060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 xml:space="preserve">                                     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-1"/>
          <w:sz w:val="24"/>
          <w:szCs w:val="24"/>
          <w:lang w:val="en-US" w:eastAsia="zh-CN" w:bidi="ar"/>
        </w:rPr>
        <w:t>证券简称：海信视像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                                                </w:t>
      </w:r>
    </w:p>
    <w:p w14:paraId="4A63CD70">
      <w:pPr>
        <w:spacing w:before="204" w:line="225" w:lineRule="auto"/>
        <w:jc w:val="center"/>
        <w:outlineLvl w:val="0"/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7"/>
          <w:sz w:val="31"/>
          <w:szCs w:val="31"/>
          <w:lang w:eastAsia="zh-CN"/>
        </w:rPr>
        <w:t>海信视像科技股份有限公司投资者关系活动记录表</w:t>
      </w:r>
    </w:p>
    <w:p w14:paraId="65E20D7D">
      <w:pPr>
        <w:spacing w:before="204" w:line="225" w:lineRule="auto"/>
        <w:jc w:val="right"/>
        <w:outlineLvl w:val="0"/>
        <w:rPr>
          <w:rFonts w:hint="default" w:ascii="Times New Roman" w:hAnsi="Times New Roman" w:cs="Times New Roman"/>
          <w:sz w:val="2"/>
          <w:lang w:val="en-US" w:eastAsia="zh-CN"/>
        </w:rPr>
      </w:pPr>
      <w:r>
        <w:rPr>
          <w:rFonts w:ascii="Times New Roman" w:hAnsi="Times New Roman" w:eastAsia="宋体" w:cs="Times New Roman"/>
          <w:spacing w:val="-7"/>
          <w:sz w:val="24"/>
          <w:szCs w:val="24"/>
          <w:lang w:eastAsia="zh-CN"/>
        </w:rPr>
        <w:t>编号：2025-</w:t>
      </w:r>
      <w:r>
        <w:rPr>
          <w:rFonts w:hint="eastAsia" w:ascii="Times New Roman" w:hAnsi="Times New Roman" w:eastAsia="宋体" w:cs="Times New Roman"/>
          <w:spacing w:val="-7"/>
          <w:sz w:val="24"/>
          <w:szCs w:val="24"/>
          <w:lang w:val="en-US" w:eastAsia="zh-CN"/>
        </w:rPr>
        <w:t>11</w:t>
      </w:r>
    </w:p>
    <w:tbl>
      <w:tblPr>
        <w:tblStyle w:val="4"/>
        <w:tblW w:w="85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3931"/>
        <w:gridCol w:w="3537"/>
      </w:tblGrid>
      <w:tr w14:paraId="4BDF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61" w:type="dxa"/>
            <w:vAlign w:val="center"/>
          </w:tcPr>
          <w:p w14:paraId="3BBFB38B">
            <w:pPr>
              <w:snapToGrid w:val="0"/>
              <w:spacing w:line="272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  <w:p w14:paraId="4457A381">
            <w:pPr>
              <w:snapToGrid w:val="0"/>
              <w:spacing w:line="272" w:lineRule="auto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  <w:p w14:paraId="712854B1">
            <w:pPr>
              <w:pStyle w:val="5"/>
              <w:snapToGrid w:val="0"/>
              <w:spacing w:before="78" w:line="356" w:lineRule="auto"/>
              <w:ind w:left="118" w:right="110" w:firstLine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投资者关系活</w:t>
            </w:r>
            <w:r>
              <w:rPr>
                <w:rFonts w:ascii="Times New Roman" w:hAnsi="Times New Roman" w:cs="Times New Roman"/>
                <w:b/>
                <w:spacing w:val="-3"/>
              </w:rPr>
              <w:t>动类别</w:t>
            </w:r>
          </w:p>
        </w:tc>
        <w:tc>
          <w:tcPr>
            <w:tcW w:w="3931" w:type="dxa"/>
            <w:tcBorders>
              <w:right w:val="nil"/>
            </w:tcBorders>
          </w:tcPr>
          <w:p w14:paraId="3345F96C">
            <w:pPr>
              <w:pStyle w:val="5"/>
              <w:snapToGrid w:val="0"/>
              <w:spacing w:before="117" w:line="220" w:lineRule="auto"/>
              <w:ind w:left="135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pacing w:val="-5"/>
                <w:sz w:val="24"/>
                <w:lang w:eastAsia="zh-CN"/>
              </w:rPr>
              <w:t>特定对象调研</w:t>
            </w:r>
          </w:p>
          <w:p w14:paraId="1E7E6619">
            <w:pPr>
              <w:pStyle w:val="5"/>
              <w:snapToGrid w:val="0"/>
              <w:spacing w:before="182" w:line="219" w:lineRule="auto"/>
              <w:ind w:left="135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lang w:eastAsia="zh-CN"/>
              </w:rPr>
              <w:t>媒体采访</w:t>
            </w:r>
          </w:p>
          <w:p w14:paraId="721F99F5">
            <w:pPr>
              <w:pStyle w:val="5"/>
              <w:snapToGrid w:val="0"/>
              <w:spacing w:before="183" w:line="219" w:lineRule="auto"/>
              <w:ind w:left="135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pacing w:val="-5"/>
                <w:sz w:val="24"/>
                <w:lang w:eastAsia="zh-CN"/>
              </w:rPr>
              <w:t>新闻发布会</w:t>
            </w:r>
          </w:p>
          <w:p w14:paraId="416233C8">
            <w:pPr>
              <w:pStyle w:val="5"/>
              <w:snapToGrid w:val="0"/>
              <w:spacing w:before="182" w:line="219" w:lineRule="auto"/>
              <w:ind w:left="135"/>
              <w:jc w:val="left"/>
              <w:rPr>
                <w:rFonts w:ascii="Times New Roman" w:hAnsi="Times New Roman" w:eastAsia="宋体" w:cs="Times New Roman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lang w:eastAsia="zh-CN"/>
              </w:rPr>
              <w:t xml:space="preserve">现场参观 </w:t>
            </w:r>
          </w:p>
          <w:p w14:paraId="6F694929">
            <w:pPr>
              <w:pStyle w:val="5"/>
              <w:snapToGrid w:val="0"/>
              <w:spacing w:before="182" w:line="219" w:lineRule="auto"/>
              <w:ind w:left="135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Segoe UI Symbol" w:eastAsia="宋体" w:cs="Segoe UI Symbol"/>
                <w:spacing w:val="-5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  <w:t>（电话会议）</w:t>
            </w:r>
          </w:p>
        </w:tc>
        <w:tc>
          <w:tcPr>
            <w:tcW w:w="3537" w:type="dxa"/>
            <w:tcBorders>
              <w:left w:val="nil"/>
            </w:tcBorders>
          </w:tcPr>
          <w:p w14:paraId="35288B01">
            <w:pPr>
              <w:pStyle w:val="5"/>
              <w:snapToGrid w:val="0"/>
              <w:spacing w:before="117" w:line="219" w:lineRule="auto"/>
              <w:ind w:left="484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pacing w:val="-2"/>
                <w:sz w:val="24"/>
                <w:lang w:eastAsia="zh-CN"/>
              </w:rPr>
              <w:t>分析师会议</w:t>
            </w:r>
          </w:p>
          <w:p w14:paraId="6F69686C">
            <w:pPr>
              <w:pStyle w:val="5"/>
              <w:snapToGrid w:val="0"/>
              <w:spacing w:before="183" w:line="219" w:lineRule="auto"/>
              <w:ind w:left="511"/>
              <w:jc w:val="left"/>
              <w:rPr>
                <w:rFonts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pacing w:val="-5"/>
                <w:sz w:val="24"/>
                <w:lang w:eastAsia="zh-CN"/>
              </w:rPr>
              <w:t>业绩说明会</w:t>
            </w:r>
          </w:p>
          <w:p w14:paraId="39D7E6E1">
            <w:pPr>
              <w:pStyle w:val="5"/>
              <w:snapToGrid w:val="0"/>
              <w:spacing w:before="182" w:line="220" w:lineRule="auto"/>
              <w:ind w:left="511"/>
              <w:jc w:val="left"/>
              <w:rPr>
                <w:rFonts w:ascii="Times New Roman" w:hAnsi="Times New Roman" w:eastAsia="宋体" w:cs="Times New Roman"/>
                <w:spacing w:val="-7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pacing w:val="-7"/>
                <w:sz w:val="24"/>
                <w:lang w:eastAsia="zh-CN"/>
              </w:rPr>
              <w:t>路演活动</w:t>
            </w:r>
          </w:p>
          <w:p w14:paraId="2AC11218">
            <w:pPr>
              <w:pStyle w:val="5"/>
              <w:snapToGrid w:val="0"/>
              <w:spacing w:before="182" w:line="220" w:lineRule="auto"/>
              <w:ind w:left="511"/>
              <w:jc w:val="left"/>
              <w:rPr>
                <w:rFonts w:ascii="Times New Roman" w:hAnsi="Times New Roman" w:eastAsia="宋体" w:cs="Times New Roman"/>
                <w:spacing w:val="-7"/>
                <w:sz w:val="24"/>
                <w:lang w:eastAsia="zh-CN"/>
              </w:rPr>
            </w:pPr>
          </w:p>
        </w:tc>
      </w:tr>
      <w:tr w14:paraId="2F1C3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61" w:type="dxa"/>
            <w:vAlign w:val="center"/>
          </w:tcPr>
          <w:p w14:paraId="65B027C1">
            <w:pPr>
              <w:pStyle w:val="5"/>
              <w:snapToGrid w:val="0"/>
              <w:spacing w:before="115" w:line="220" w:lineRule="auto"/>
              <w:ind w:left="1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参与单位名称</w:t>
            </w:r>
          </w:p>
        </w:tc>
        <w:tc>
          <w:tcPr>
            <w:tcW w:w="7468" w:type="dxa"/>
            <w:gridSpan w:val="2"/>
            <w:vAlign w:val="center"/>
          </w:tcPr>
          <w:p w14:paraId="2BA5E72E">
            <w:pPr>
              <w:pStyle w:val="5"/>
              <w:snapToGrid w:val="0"/>
              <w:spacing w:before="120" w:beforeLines="50" w:after="120" w:afterLines="5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花旗银行、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中邮保险、鹏华基金、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泰信基金、域秀姿本、嘉实基金、南方基金、中信资管、华安合鑫、长江养老、财通资管、建信基金、星泰资本、泓德基金、华富基金、兴证资管、观富资产、太平养老、广发基金、Eastspring、前海开源基金、广发自营、阳光资产、招商基金、浙商基金、中金资管、富国基金、中信建投自营、天弘基金、长城财富、上银基金、Brilliance、易方达基金、国寿养老、汇安基金、中泰资管、Dymon Asia Capital （HK） Limited、沣京资本、永诚保险、国华兴益保险、中信证券权益、永赢基金、青骊投资、大成基金、九泰基金、Citadel、国泰基金、上海正心谷投资、瓴仁私募、孝庸私募、路博迈基金、润晖资产、浙江益恒投资、循远资管、上海宽远资管、长安基金、创金合信基金、海富通基金、海南果实私募基金、天治基金、长江资管、Point72、博道基金、晨燕资产管理、长城财富保险、泰康资管、LC Capital、北京国际信托、北京成泉资管、深圳博普科技、国华兴益保险、杭州银行理财子、大家资管、方正证券、国金证券、国投证券、广发证券、天风证券、华西证券、兴业证券、华创证券、海通国际、华安证券、华泰证券、申万宏源、浙商证券、中信证券、华源证券、开源证券、招商证券、国泰海通、西部证券、山西证券、太平洋证券、野村证券、中金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、国信证券、长江证券、银河证券、西南证券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中泰证券、财通证券、国盛证券、东方证券、中信建投、国联民生、华福证券、光大证券</w:t>
            </w:r>
          </w:p>
        </w:tc>
      </w:tr>
      <w:tr w14:paraId="2B80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61" w:type="dxa"/>
            <w:vAlign w:val="center"/>
          </w:tcPr>
          <w:p w14:paraId="6807D5DC">
            <w:pPr>
              <w:pStyle w:val="5"/>
              <w:snapToGrid w:val="0"/>
              <w:spacing w:before="114" w:line="222" w:lineRule="auto"/>
              <w:ind w:left="12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时间</w:t>
            </w:r>
          </w:p>
        </w:tc>
        <w:tc>
          <w:tcPr>
            <w:tcW w:w="7468" w:type="dxa"/>
            <w:gridSpan w:val="2"/>
            <w:vAlign w:val="center"/>
          </w:tcPr>
          <w:p w14:paraId="0FA441E6">
            <w:pPr>
              <w:pStyle w:val="5"/>
              <w:snapToGrid w:val="0"/>
              <w:spacing w:before="113" w:line="220" w:lineRule="auto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4"/>
                <w:lang w:eastAsia="zh-CN"/>
              </w:rPr>
              <w:t>2025</w:t>
            </w:r>
            <w:r>
              <w:rPr>
                <w:rFonts w:ascii="Times New Roman" w:hAnsi="Times New Roman" w:eastAsia="宋体" w:cs="Times New Roman"/>
                <w:spacing w:val="-4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spacing w:val="-4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pacing w:val="-4"/>
                <w:sz w:val="24"/>
                <w:lang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lang w:eastAsia="zh-CN"/>
              </w:rPr>
              <w:t>至</w:t>
            </w:r>
            <w:r>
              <w:rPr>
                <w:rFonts w:ascii="Times New Roman" w:hAnsi="Times New Roman" w:eastAsia="宋体" w:cs="Times New Roman"/>
                <w:spacing w:val="-4"/>
                <w:sz w:val="24"/>
                <w:lang w:eastAsia="zh-CN"/>
              </w:rPr>
              <w:t>2025</w:t>
            </w:r>
            <w:r>
              <w:rPr>
                <w:rFonts w:ascii="Times New Roman" w:hAnsi="Times New Roman" w:eastAsia="宋体" w:cs="Times New Roman"/>
                <w:spacing w:val="-4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spacing w:val="-4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pacing w:val="-4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pacing w:val="-4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pacing w:val="-4"/>
                <w:sz w:val="24"/>
                <w:lang w:eastAsia="zh-CN"/>
              </w:rPr>
              <w:t>日</w:t>
            </w:r>
          </w:p>
        </w:tc>
      </w:tr>
      <w:tr w14:paraId="32982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61" w:type="dxa"/>
            <w:vAlign w:val="center"/>
          </w:tcPr>
          <w:p w14:paraId="0946ECE6">
            <w:pPr>
              <w:pStyle w:val="5"/>
              <w:snapToGrid w:val="0"/>
              <w:spacing w:before="117" w:line="224" w:lineRule="auto"/>
              <w:ind w:left="1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3"/>
              </w:rPr>
              <w:t>地点</w:t>
            </w:r>
          </w:p>
        </w:tc>
        <w:tc>
          <w:tcPr>
            <w:tcW w:w="7468" w:type="dxa"/>
            <w:gridSpan w:val="2"/>
            <w:vAlign w:val="center"/>
          </w:tcPr>
          <w:p w14:paraId="00FADA5F">
            <w:pPr>
              <w:pStyle w:val="5"/>
              <w:snapToGrid w:val="0"/>
              <w:spacing w:before="117" w:line="219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公司会议室、</w:t>
            </w: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>电话会议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等</w:t>
            </w:r>
          </w:p>
        </w:tc>
      </w:tr>
      <w:tr w14:paraId="00C2C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61" w:type="dxa"/>
            <w:vAlign w:val="center"/>
          </w:tcPr>
          <w:p w14:paraId="11E0F2A3">
            <w:pPr>
              <w:pStyle w:val="5"/>
              <w:snapToGrid w:val="0"/>
              <w:spacing w:before="116" w:line="313" w:lineRule="auto"/>
              <w:ind w:left="119" w:right="11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spacing w:val="4"/>
                <w:lang w:eastAsia="zh-CN"/>
              </w:rPr>
              <w:t>上市公司接待</w:t>
            </w:r>
            <w:r>
              <w:rPr>
                <w:rFonts w:ascii="Times New Roman" w:hAnsi="Times New Roman" w:cs="Times New Roman"/>
                <w:b/>
                <w:spacing w:val="-3"/>
                <w:lang w:eastAsia="zh-CN"/>
              </w:rPr>
              <w:t>人员姓名</w:t>
            </w:r>
          </w:p>
        </w:tc>
        <w:tc>
          <w:tcPr>
            <w:tcW w:w="7468" w:type="dxa"/>
            <w:gridSpan w:val="2"/>
            <w:vAlign w:val="center"/>
          </w:tcPr>
          <w:p w14:paraId="3E617138">
            <w:pPr>
              <w:pStyle w:val="5"/>
              <w:snapToGrid w:val="0"/>
              <w:spacing w:after="120" w:afterLines="50" w:line="360" w:lineRule="auto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 xml:space="preserve">董事、总裁 </w:t>
            </w: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 xml:space="preserve">  李  炜</w:t>
            </w:r>
          </w:p>
          <w:p w14:paraId="3282EE7C">
            <w:pPr>
              <w:pStyle w:val="5"/>
              <w:snapToGrid w:val="0"/>
              <w:spacing w:after="120" w:afterLines="50" w:line="360" w:lineRule="auto"/>
              <w:jc w:val="left"/>
              <w:rPr>
                <w:rFonts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 xml:space="preserve">财务负责人 </w:t>
            </w: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 xml:space="preserve">  郑丽非</w:t>
            </w:r>
          </w:p>
          <w:p w14:paraId="69D2DD0F">
            <w:pPr>
              <w:pStyle w:val="5"/>
              <w:snapToGrid w:val="0"/>
              <w:spacing w:after="120" w:afterLines="50"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 xml:space="preserve">董事会秘书  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>范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4"/>
                <w:lang w:eastAsia="zh-CN"/>
              </w:rPr>
              <w:t>潇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 </w:t>
            </w:r>
          </w:p>
        </w:tc>
      </w:tr>
      <w:tr w14:paraId="77E3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61" w:type="dxa"/>
            <w:vAlign w:val="center"/>
          </w:tcPr>
          <w:p w14:paraId="314C7E04">
            <w:pPr>
              <w:pStyle w:val="5"/>
              <w:snapToGrid w:val="0"/>
              <w:spacing w:before="116" w:line="313" w:lineRule="auto"/>
              <w:ind w:left="119" w:right="110"/>
              <w:jc w:val="both"/>
              <w:rPr>
                <w:rFonts w:ascii="Times New Roman" w:hAnsi="Times New Roman" w:cs="Times New Roman"/>
                <w:b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pacing w:val="4"/>
                <w:lang w:eastAsia="zh-CN"/>
              </w:rPr>
              <w:t>投资者关系活动主要内容介</w:t>
            </w:r>
            <w:r>
              <w:rPr>
                <w:rFonts w:ascii="Times New Roman" w:hAnsi="Times New Roman" w:cs="Times New Roman"/>
                <w:b/>
                <w:lang w:eastAsia="zh-CN"/>
              </w:rPr>
              <w:t>绍</w:t>
            </w:r>
          </w:p>
        </w:tc>
        <w:tc>
          <w:tcPr>
            <w:tcW w:w="7468" w:type="dxa"/>
            <w:gridSpan w:val="2"/>
            <w:vAlign w:val="center"/>
          </w:tcPr>
          <w:p w14:paraId="2C112176">
            <w:pPr>
              <w:pStyle w:val="5"/>
              <w:numPr>
                <w:ilvl w:val="0"/>
                <w:numId w:val="1"/>
              </w:numPr>
              <w:snapToGrid w:val="0"/>
              <w:spacing w:before="120" w:beforeLines="50" w:after="120" w:afterLines="50" w:line="360" w:lineRule="auto"/>
              <w:jc w:val="left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公司2025年三季度经营业绩表现如何？</w:t>
            </w:r>
          </w:p>
          <w:p w14:paraId="7FD3B374">
            <w:pPr>
              <w:pStyle w:val="5"/>
              <w:snapToGrid w:val="0"/>
              <w:spacing w:before="120" w:beforeLines="50" w:after="120" w:afterLines="50" w:line="360" w:lineRule="auto"/>
              <w:ind w:firstLine="480" w:firstLineChars="200"/>
              <w:jc w:val="left"/>
              <w:rPr>
                <w:rFonts w:hint="eastAsia" w:ascii="Times New Roman" w:hAnsi="微软雅黑" w:eastAsia="宋体" w:cs="微软雅黑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答：2025年三季度，公司经营业绩保持稳健增长，盈利能力与运营质量同步提升，实现高质量发展。前三季度，公司实现主营业务收入399.89亿元，同比增长5.65%；归母净利润16.29亿元，同比增长24.27%，利润增速显著高于收入增速，盈利水平持续优化。其中第三季度实现主营业务收入150.66亿元，同比增长6.71%；归母净利润5.73亿元，同比增长20.15%，展现出良好的增长韧性。</w:t>
            </w:r>
            <w:r>
              <w:rPr>
                <w:rFonts w:hint="eastAsia" w:ascii="Times New Roman" w:hAnsi="微软雅黑" w:eastAsia="宋体" w:cs="微软雅黑"/>
                <w:sz w:val="24"/>
                <w:szCs w:val="21"/>
              </w:rPr>
              <w:br w:type="page"/>
            </w:r>
          </w:p>
          <w:p w14:paraId="7A8F648E">
            <w:pPr>
              <w:pStyle w:val="5"/>
              <w:numPr>
                <w:ilvl w:val="0"/>
                <w:numId w:val="1"/>
              </w:numPr>
              <w:snapToGrid w:val="0"/>
              <w:spacing w:before="120" w:beforeLines="50" w:after="120" w:afterLines="50" w:line="360" w:lineRule="auto"/>
              <w:jc w:val="left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请问前三季度公司的市场表现如何？高端化、大屏化战略有什么新进展？</w:t>
            </w:r>
          </w:p>
          <w:p w14:paraId="27ED7CA5">
            <w:pPr>
              <w:pStyle w:val="5"/>
              <w:numPr>
                <w:ilvl w:val="0"/>
                <w:numId w:val="0"/>
              </w:numPr>
              <w:snapToGrid w:val="0"/>
              <w:spacing w:before="120" w:beforeLines="50" w:after="120" w:afterLines="50"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答：公司精准把握高端化与大屏化趋势，在全球及中国高端大屏市场呈现出强劲增长势头。在全球市场上，2025年前三季度海信98吋、100吋及以上大屏电视出货量分别同比增长超64%、59%，Mini LED全球出货量同比增长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超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76%。国内市场方面，根据奥维云网全渠道统计数据，前三季度，海信系电视销售量、销售额占有率稳居行业第一。</w:t>
            </w:r>
          </w:p>
          <w:p w14:paraId="75728CA0">
            <w:pPr>
              <w:pStyle w:val="5"/>
              <w:numPr>
                <w:ilvl w:val="0"/>
                <w:numId w:val="0"/>
              </w:numPr>
              <w:snapToGrid w:val="0"/>
              <w:spacing w:before="120" w:beforeLines="50" w:after="120" w:afterLines="50"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公司秉持“技术立企”战略，自主研发RGB光色同控AI画质芯片H7与高性能RGB-Mini LED背光芯片，攻克三维控光技术瓶颈，推动高端显示技术的国产化与产业化进程。第三季度，公司推出大尺寸Mini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LED产品，以及影像旗舰U7S Pro、影游旗舰E8S Pro等高端RGB Mini LED产品，推动RGB-Mini LED从技术引领向大众普惠的产业化进程。凭借RGB-Mini LED技术的领先地位和不断优化的产品结构，公司前三季度Mini LED国内出货量同比增长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超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200%，高端化、大屏化战略成效显著。</w:t>
            </w:r>
          </w:p>
          <w:p w14:paraId="2E86B4B8">
            <w:pPr>
              <w:pStyle w:val="5"/>
              <w:numPr>
                <w:ilvl w:val="0"/>
                <w:numId w:val="1"/>
              </w:numPr>
              <w:snapToGrid w:val="0"/>
              <w:spacing w:before="120" w:beforeLines="50" w:after="120" w:afterLines="50" w:line="360" w:lineRule="auto"/>
              <w:jc w:val="left"/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RGB-Mini LED作为新一代显示技术，请问公司在产业化落地方面进展如何？</w:t>
            </w:r>
          </w:p>
          <w:p w14:paraId="010940F3">
            <w:pPr>
              <w:pStyle w:val="5"/>
              <w:snapToGrid w:val="0"/>
              <w:spacing w:before="120" w:beforeLines="50" w:after="120" w:afterLines="50"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答：公司作为RGB-Mini LED技术的开创者与引领者，不仅实现了技术突破、产品普及，并中国显示技术定义全球画质标准。依托在显示与芯片领域二十余年的技术积累，公司自主研发RGB光色同控AI画质芯片H7与高性能RGB-Mini LED发光芯片，成功攻克“光色同控芯片与算法”及“高光效、高可靠性LED发光芯片”两大产业化核心难题，率先实现从传统单色背光到RGB三色背光、从单一亮度控制到光色同控的重大技术跨越。在产业化进程方面，公司仅用8个多月时间，便完成从全球首款116英寸RGB-Mini LED电视UX、影像旗舰U7S Pro、影游旗舰E8S Pro等多款产品的布局，推动RGB-Mini LED从技术引领向大众普惠的产业化进程。目前，公司已建立起领先行业约半年的先发优势。公司于报告期内推出的影像旗舰U7S Pro与影游旗舰E8S Pro，精准覆盖“影院级观影”与“沉浸式游戏”两大高端场景。其中U7S Pro获得潘通与IMAX双认证并首发DolbyVision2格式；E8S Pro则具备9360级控光分区与4K 170Hz高刷新率，满足硬核玩家需求，形成了覆盖不同价位段的产品矩阵。此外，公司还率先主导制定了多基色显示分级分类标准，明确RGB-Mini LED需具备“RGB独立发光芯片+光色同控独立画质芯片”的核心配置，持续引领全球显示技术的升级方向，公司在全球新一代显示技术竞争中已确立明显的领先优势。</w:t>
            </w:r>
          </w:p>
          <w:p w14:paraId="53D68390">
            <w:pPr>
              <w:pStyle w:val="5"/>
              <w:numPr>
                <w:ilvl w:val="0"/>
                <w:numId w:val="1"/>
              </w:numPr>
              <w:snapToGrid w:val="0"/>
              <w:spacing w:before="120" w:beforeLines="50" w:after="120" w:afterLines="50"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  <w:t>公司近年来品牌价值持续提升，这背后的驱动因素是什么</w:t>
            </w:r>
          </w:p>
          <w:p w14:paraId="44906DF1">
            <w:pPr>
              <w:pStyle w:val="5"/>
              <w:snapToGrid w:val="0"/>
              <w:spacing w:before="120" w:beforeLines="50" w:after="120" w:afterLines="50"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答：公司品牌价值提升源于体育营销与技术场景化的深度融合。体育赛事作为全球高关注度场景，成为公司品牌破圈的关键抓手，海信已连续赞助三届世界杯、三届欧洲杯等顶级赛事。2025年9月5日，海信正式官宣成为2026年世界杯全球官方赞助商，公司将依托RGB-Mini LED与AI技术深化赛事合作，进一步提升全球观赛体验与品牌曝光度。公司针对游戏等高增长赛道推出E8S Pro等旗舰产品，搭载4K170Hz原生刷新率与RGB-MiniLED色彩优势，精准匹配2026年世界杯、3A游戏大年对高画质、低延迟的升级需求，同时通过AI技术赋能观赛体验，打造基于星海大模型的“赛前-赛中-赛后”全景交互系统。此外，公司在液晶、激光显示、Micro LED三大显示技术领域的突破为品牌注入硬核价值，连续9年位居BrandZ™中国全球化品牌10强，保持电视品牌最高排名，长期稳定的全球化布局与技术领先形象，进一步强化了用户对品牌的信任度。</w:t>
            </w:r>
          </w:p>
          <w:p w14:paraId="30068953">
            <w:pPr>
              <w:pStyle w:val="5"/>
              <w:numPr>
                <w:ilvl w:val="0"/>
                <w:numId w:val="1"/>
              </w:numPr>
              <w:snapToGrid w:val="0"/>
              <w:spacing w:before="120" w:beforeLines="50" w:after="120" w:afterLines="50"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lang w:eastAsia="zh-CN"/>
              </w:rPr>
              <w:t>AI技术正以前所未有的速度重塑各行各业，公司在AI技术落地方面有什么新进展？</w:t>
            </w:r>
          </w:p>
          <w:p w14:paraId="5DC06DBB">
            <w:pPr>
              <w:pStyle w:val="5"/>
              <w:snapToGrid w:val="0"/>
              <w:spacing w:before="120" w:beforeLines="50" w:after="120" w:afterLines="50" w:line="360" w:lineRule="auto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答：作为AI电视的领导品牌，公司始终围绕用户核心需求，致力于提供更真实的视听体验、更自然的交互、更流畅的运行效率和更丰富的场景化服务，持续升级AI电视的体验价值。公司以“端-云-芯”一体化架构为核心，推动电视从单一显示设备逐步转型为家庭智能中枢。在行业标准化方面，公司牵头制定了《智能家居场景下多模态大模型技术要求》IEEE国际标准，实现技术输出到标准引领的跨越。同时，公司与谷歌在操作系统和软件应用等领域深化合作，进一步强化智能家居设备的互联互通与自动化体验。</w:t>
            </w:r>
          </w:p>
          <w:p w14:paraId="1EC4B44C">
            <w:pPr>
              <w:pStyle w:val="5"/>
              <w:snapToGrid w:val="0"/>
              <w:spacing w:before="120" w:beforeLines="50" w:after="120" w:afterLines="50"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  <w:t>2025年10月，公司发布V11耳夹耳机与G11智能眼镜等AI新品，依托智能感知和无感佩戴技术，正式切入智能穿戴领域，为用户提供下一代穿戴体验。未来，公司将持续突破技术边界，完善生态布局，推动行业智能化转型，为用户提供更智能、便捷的家居生活体验。</w:t>
            </w:r>
          </w:p>
        </w:tc>
      </w:tr>
    </w:tbl>
    <w:p w14:paraId="7D3A022D">
      <w:pPr>
        <w:jc w:val="center"/>
        <w:rPr>
          <w:rFonts w:ascii="Times New Roman" w:hAnsi="Times New Roman" w:cs="Times New Roman"/>
          <w:lang w:eastAsia="zh-CN"/>
        </w:rPr>
      </w:pPr>
    </w:p>
    <w:p w14:paraId="45B20876"/>
    <w:sectPr>
      <w:pgSz w:w="11907" w:h="16839"/>
      <w:pgMar w:top="737" w:right="1694" w:bottom="737" w:left="169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53066"/>
    <w:multiLevelType w:val="multilevel"/>
    <w:tmpl w:val="3F753066"/>
    <w:lvl w:ilvl="0" w:tentative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03749"/>
    <w:rsid w:val="0BC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2025-10-31T06:43:00Z</dcterms:created>
  <dc:creator>王璐</dc:creator>
  <cp:lastModifiedBy>王璐</cp:lastModifiedBy>
  <dcterms:modified xsi:type="dcterms:W3CDTF">2025-10-31T06:48:00Z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8305C021D088472E95808E4D622E091B_11</vt:lpwstr>
  </property>
  <property fmtid="{D5CDD505-2E9C-101B-9397-08002B2CF9AE}" pid="4" name="KSOTemplateDocerSaveRecord">
    <vt:lpwstr>eyJoZGlkIjoiYmVmZTNhMjM0MzExYjNmYjUyMjFmMjRmZWVmM2JhYWUiLCJ1c2VySWQiOiIxMjA2NjU3OTI1In0=</vt:lpwstr>
  </property>
</Properties>
</file>