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E66" w:rsidRDefault="00E04E66">
      <w:r>
        <w:rPr>
          <w:rFonts w:hint="eastAsia"/>
        </w:rPr>
        <w:t>股票代码：</w:t>
      </w:r>
      <w:r>
        <w:rPr>
          <w:rFonts w:hint="eastAsia"/>
        </w:rPr>
        <w:t>6</w:t>
      </w:r>
      <w:r>
        <w:t xml:space="preserve">00010                                          </w:t>
      </w:r>
      <w:r>
        <w:rPr>
          <w:rFonts w:hint="eastAsia"/>
        </w:rPr>
        <w:t>股票简称：包钢股份</w:t>
      </w:r>
    </w:p>
    <w:p w:rsidR="00E04E66" w:rsidRPr="00E04E66" w:rsidRDefault="00E04E66" w:rsidP="00E04E66">
      <w:pPr>
        <w:jc w:val="center"/>
        <w:rPr>
          <w:rFonts w:ascii="华文中宋" w:eastAsia="华文中宋" w:hAnsi="华文中宋"/>
          <w:sz w:val="32"/>
          <w:szCs w:val="32"/>
        </w:rPr>
      </w:pPr>
    </w:p>
    <w:p w:rsidR="00E34832" w:rsidRDefault="00E34832" w:rsidP="00E04E66">
      <w:pPr>
        <w:jc w:val="center"/>
        <w:rPr>
          <w:rFonts w:ascii="华文中宋" w:eastAsia="华文中宋" w:hAnsi="华文中宋"/>
          <w:sz w:val="32"/>
          <w:szCs w:val="32"/>
        </w:rPr>
      </w:pPr>
      <w:r w:rsidRPr="00E04E66">
        <w:rPr>
          <w:rFonts w:ascii="华文中宋" w:eastAsia="华文中宋" w:hAnsi="华文中宋" w:hint="eastAsia"/>
          <w:sz w:val="32"/>
          <w:szCs w:val="32"/>
        </w:rPr>
        <w:t>内蒙古包钢钢联股份有限公司</w:t>
      </w:r>
      <w:r w:rsidR="00E04E66">
        <w:rPr>
          <w:rFonts w:ascii="华文中宋" w:eastAsia="华文中宋" w:hAnsi="华文中宋" w:hint="eastAsia"/>
          <w:sz w:val="32"/>
          <w:szCs w:val="32"/>
        </w:rPr>
        <w:t>投资者关系</w:t>
      </w:r>
      <w:r w:rsidRPr="00E04E66">
        <w:rPr>
          <w:rFonts w:ascii="华文中宋" w:eastAsia="华文中宋" w:hAnsi="华文中宋" w:hint="eastAsia"/>
          <w:sz w:val="32"/>
          <w:szCs w:val="32"/>
        </w:rPr>
        <w:t>活动记录表</w:t>
      </w:r>
    </w:p>
    <w:p w:rsidR="00404F64" w:rsidRDefault="00404F64" w:rsidP="00E04E66">
      <w:pPr>
        <w:jc w:val="center"/>
        <w:rPr>
          <w:rFonts w:ascii="华文中宋" w:eastAsia="华文中宋" w:hAnsi="华文中宋"/>
          <w:sz w:val="32"/>
          <w:szCs w:val="32"/>
        </w:rPr>
      </w:pPr>
    </w:p>
    <w:tbl>
      <w:tblPr>
        <w:tblStyle w:val="a3"/>
        <w:tblW w:w="9067" w:type="dxa"/>
        <w:jc w:val="center"/>
        <w:tblLook w:val="04A0" w:firstRow="1" w:lastRow="0" w:firstColumn="1" w:lastColumn="0" w:noHBand="0" w:noVBand="1"/>
      </w:tblPr>
      <w:tblGrid>
        <w:gridCol w:w="1929"/>
        <w:gridCol w:w="7138"/>
      </w:tblGrid>
      <w:tr w:rsidR="00E34832" w:rsidTr="00155E6A">
        <w:trPr>
          <w:trHeight w:val="2198"/>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投资者关系活动类型</w:t>
            </w:r>
          </w:p>
        </w:tc>
        <w:tc>
          <w:tcPr>
            <w:tcW w:w="6577" w:type="dxa"/>
          </w:tcPr>
          <w:p w:rsidR="00E04E66" w:rsidRPr="00990A9D"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sym w:font="Wingdings 2" w:char="0052"/>
            </w:r>
            <w:r w:rsidRPr="00990A9D">
              <w:rPr>
                <w:rFonts w:asciiTheme="minorEastAsia" w:hAnsiTheme="minorEastAsia" w:cs="Times New Roman" w:hint="eastAsia"/>
                <w:color w:val="000000"/>
                <w:spacing w:val="-6"/>
                <w:kern w:val="0"/>
                <w:sz w:val="24"/>
                <w:szCs w:val="24"/>
              </w:rPr>
              <w:t xml:space="preserve">特定对象调研 </w:t>
            </w:r>
            <w:r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hint="eastAsia"/>
                <w:color w:val="000000"/>
                <w:spacing w:val="-6"/>
                <w:kern w:val="0"/>
                <w:sz w:val="24"/>
                <w:szCs w:val="24"/>
              </w:rPr>
              <w:t>□分析师会议</w:t>
            </w:r>
          </w:p>
          <w:p w:rsidR="00925FD8" w:rsidRPr="00990A9D"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t xml:space="preserve">□媒体采访 </w:t>
            </w:r>
            <w:r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hint="eastAsia"/>
                <w:color w:val="000000"/>
                <w:spacing w:val="-6"/>
                <w:kern w:val="0"/>
                <w:sz w:val="24"/>
                <w:szCs w:val="24"/>
              </w:rPr>
              <w:t>□路演活动</w:t>
            </w:r>
          </w:p>
          <w:p w:rsidR="00554E7A"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t>□</w:t>
            </w:r>
            <w:r w:rsidR="00925FD8" w:rsidRPr="00990A9D">
              <w:rPr>
                <w:rFonts w:asciiTheme="minorEastAsia" w:hAnsiTheme="minorEastAsia" w:cs="Times New Roman" w:hint="eastAsia"/>
                <w:color w:val="000000"/>
                <w:spacing w:val="-6"/>
                <w:kern w:val="0"/>
                <w:sz w:val="24"/>
                <w:szCs w:val="24"/>
              </w:rPr>
              <w:t xml:space="preserve">新闻发布会 </w:t>
            </w:r>
            <w:r w:rsidR="00925FD8" w:rsidRPr="00990A9D">
              <w:rPr>
                <w:rFonts w:asciiTheme="minorEastAsia" w:hAnsiTheme="minorEastAsia" w:cs="Times New Roman"/>
                <w:color w:val="000000"/>
                <w:spacing w:val="-6"/>
                <w:kern w:val="0"/>
                <w:sz w:val="24"/>
                <w:szCs w:val="24"/>
              </w:rPr>
              <w:t xml:space="preserve">       </w:t>
            </w:r>
            <w:r w:rsidR="0073169D" w:rsidRPr="00990A9D">
              <w:rPr>
                <w:rFonts w:asciiTheme="minorEastAsia" w:hAnsiTheme="minorEastAsia" w:cs="Times New Roman" w:hint="eastAsia"/>
                <w:color w:val="000000"/>
                <w:spacing w:val="-6"/>
                <w:kern w:val="0"/>
                <w:sz w:val="24"/>
                <w:szCs w:val="24"/>
              </w:rPr>
              <w:sym w:font="Wingdings 2" w:char="0052"/>
            </w:r>
            <w:r w:rsidR="00554E7A" w:rsidRPr="00990A9D">
              <w:rPr>
                <w:rFonts w:asciiTheme="minorEastAsia" w:hAnsiTheme="minorEastAsia" w:cs="Times New Roman" w:hint="eastAsia"/>
                <w:color w:val="000000"/>
                <w:spacing w:val="-6"/>
                <w:kern w:val="0"/>
                <w:sz w:val="24"/>
                <w:szCs w:val="24"/>
              </w:rPr>
              <w:t xml:space="preserve">现场参观 </w:t>
            </w:r>
            <w:r w:rsidR="00554E7A" w:rsidRPr="00990A9D">
              <w:rPr>
                <w:rFonts w:asciiTheme="minorEastAsia" w:hAnsiTheme="minorEastAsia" w:cs="Times New Roman"/>
                <w:color w:val="000000"/>
                <w:spacing w:val="-6"/>
                <w:kern w:val="0"/>
                <w:sz w:val="24"/>
                <w:szCs w:val="24"/>
              </w:rPr>
              <w:t xml:space="preserve"> </w:t>
            </w:r>
          </w:p>
          <w:p w:rsidR="00E34832" w:rsidRPr="00AE0ECC" w:rsidRDefault="00E777C9"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sym w:font="Wingdings 2" w:char="0052"/>
            </w:r>
            <w:r w:rsidR="00925FD8" w:rsidRPr="00990A9D">
              <w:rPr>
                <w:rFonts w:asciiTheme="minorEastAsia" w:hAnsiTheme="minorEastAsia" w:cs="Times New Roman" w:hint="eastAsia"/>
                <w:color w:val="000000"/>
                <w:spacing w:val="-6"/>
                <w:kern w:val="0"/>
                <w:sz w:val="24"/>
                <w:szCs w:val="24"/>
              </w:rPr>
              <w:t>其他（策略会、反路演）</w:t>
            </w:r>
            <w:r w:rsidR="00603FAE">
              <w:rPr>
                <w:rFonts w:asciiTheme="minorEastAsia" w:hAnsiTheme="minorEastAsia" w:cs="Times New Roman" w:hint="eastAsia"/>
                <w:color w:val="000000"/>
                <w:spacing w:val="-6"/>
                <w:kern w:val="0"/>
                <w:sz w:val="24"/>
                <w:szCs w:val="24"/>
              </w:rPr>
              <w:t>：反路演</w:t>
            </w:r>
          </w:p>
        </w:tc>
      </w:tr>
      <w:tr w:rsidR="00E34832" w:rsidTr="002C6A95">
        <w:trPr>
          <w:trHeight w:val="6935"/>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来访时间、参与单位名称</w:t>
            </w:r>
          </w:p>
        </w:tc>
        <w:tc>
          <w:tcPr>
            <w:tcW w:w="6577" w:type="dxa"/>
          </w:tcPr>
          <w:p w:rsidR="00603FAE" w:rsidRDefault="00603FAE" w:rsidP="00C37C58">
            <w:pPr>
              <w:spacing w:line="520" w:lineRule="exact"/>
              <w:rPr>
                <w:rFonts w:asciiTheme="minorEastAsia" w:hAnsiTheme="minorEastAsia"/>
                <w:sz w:val="24"/>
                <w:szCs w:val="24"/>
              </w:rPr>
            </w:pPr>
            <w:r>
              <w:rPr>
                <w:rFonts w:asciiTheme="minorEastAsia" w:hAnsiTheme="minorEastAsia" w:hint="eastAsia"/>
                <w:sz w:val="24"/>
                <w:szCs w:val="24"/>
              </w:rPr>
              <w:t>8月1</w:t>
            </w:r>
            <w:r>
              <w:rPr>
                <w:rFonts w:asciiTheme="minorEastAsia" w:hAnsiTheme="minorEastAsia"/>
                <w:sz w:val="24"/>
                <w:szCs w:val="24"/>
              </w:rPr>
              <w:t>2</w:t>
            </w:r>
            <w:r>
              <w:rPr>
                <w:rFonts w:asciiTheme="minorEastAsia" w:hAnsiTheme="minorEastAsia" w:hint="eastAsia"/>
                <w:sz w:val="24"/>
                <w:szCs w:val="24"/>
              </w:rPr>
              <w:t>日下午2:3</w:t>
            </w:r>
            <w:r>
              <w:rPr>
                <w:rFonts w:asciiTheme="minorEastAsia" w:hAnsiTheme="minorEastAsia"/>
                <w:sz w:val="24"/>
                <w:szCs w:val="24"/>
              </w:rPr>
              <w:t>0</w:t>
            </w:r>
            <w:r>
              <w:rPr>
                <w:rFonts w:asciiTheme="minorEastAsia" w:hAnsiTheme="minorEastAsia" w:hint="eastAsia"/>
                <w:sz w:val="24"/>
                <w:szCs w:val="24"/>
              </w:rPr>
              <w:t>，“我是股东”——投资者走进包钢股份主题投教活动，恒泰证券呼和浩特和包头营业部有关领导及投资者2</w:t>
            </w:r>
            <w:r>
              <w:rPr>
                <w:rFonts w:asciiTheme="minorEastAsia" w:hAnsiTheme="minorEastAsia"/>
                <w:sz w:val="24"/>
                <w:szCs w:val="24"/>
              </w:rPr>
              <w:t>9</w:t>
            </w:r>
            <w:r>
              <w:rPr>
                <w:rFonts w:asciiTheme="minorEastAsia" w:hAnsiTheme="minorEastAsia" w:hint="eastAsia"/>
                <w:sz w:val="24"/>
                <w:szCs w:val="24"/>
              </w:rPr>
              <w:t>人</w:t>
            </w:r>
          </w:p>
          <w:p w:rsidR="00603FAE" w:rsidRDefault="00603FAE" w:rsidP="00C37C58">
            <w:pPr>
              <w:spacing w:line="520" w:lineRule="exact"/>
              <w:rPr>
                <w:rFonts w:asciiTheme="minorEastAsia" w:hAnsiTheme="minorEastAsia"/>
                <w:sz w:val="24"/>
                <w:szCs w:val="24"/>
              </w:rPr>
            </w:pPr>
            <w:r>
              <w:rPr>
                <w:rFonts w:asciiTheme="minorEastAsia" w:hAnsiTheme="minorEastAsia"/>
                <w:sz w:val="24"/>
                <w:szCs w:val="24"/>
              </w:rPr>
              <w:t>8</w:t>
            </w:r>
            <w:r>
              <w:rPr>
                <w:rFonts w:asciiTheme="minorEastAsia" w:hAnsiTheme="minorEastAsia" w:hint="eastAsia"/>
                <w:sz w:val="24"/>
                <w:szCs w:val="24"/>
              </w:rPr>
              <w:t>月1</w:t>
            </w:r>
            <w:r>
              <w:rPr>
                <w:rFonts w:asciiTheme="minorEastAsia" w:hAnsiTheme="minorEastAsia"/>
                <w:sz w:val="24"/>
                <w:szCs w:val="24"/>
              </w:rPr>
              <w:t>5</w:t>
            </w:r>
            <w:r>
              <w:rPr>
                <w:rFonts w:asciiTheme="minorEastAsia" w:hAnsiTheme="minorEastAsia" w:hint="eastAsia"/>
                <w:sz w:val="24"/>
                <w:szCs w:val="24"/>
              </w:rPr>
              <w:t>日上午9:0</w:t>
            </w:r>
            <w:r>
              <w:rPr>
                <w:rFonts w:asciiTheme="minorEastAsia" w:hAnsiTheme="minorEastAsia"/>
                <w:sz w:val="24"/>
                <w:szCs w:val="24"/>
              </w:rPr>
              <w:t>0</w:t>
            </w:r>
            <w:r>
              <w:rPr>
                <w:rFonts w:asciiTheme="minorEastAsia" w:hAnsiTheme="minorEastAsia" w:hint="eastAsia"/>
                <w:sz w:val="24"/>
                <w:szCs w:val="24"/>
              </w:rPr>
              <w:t>，长江证券、中欧基金等机构投资者和券商分析师等3人</w:t>
            </w:r>
          </w:p>
          <w:p w:rsidR="00F3613E" w:rsidRDefault="007E113B" w:rsidP="00C37C58">
            <w:pPr>
              <w:spacing w:line="520" w:lineRule="exact"/>
              <w:rPr>
                <w:rFonts w:asciiTheme="minorEastAsia" w:hAnsiTheme="minorEastAsia"/>
                <w:sz w:val="24"/>
                <w:szCs w:val="24"/>
              </w:rPr>
            </w:pPr>
            <w:r>
              <w:rPr>
                <w:rFonts w:asciiTheme="minorEastAsia" w:hAnsiTheme="minorEastAsia" w:hint="eastAsia"/>
                <w:sz w:val="24"/>
                <w:szCs w:val="24"/>
              </w:rPr>
              <w:t>8月</w:t>
            </w:r>
            <w:r>
              <w:rPr>
                <w:rFonts w:asciiTheme="minorEastAsia" w:hAnsiTheme="minorEastAsia"/>
                <w:sz w:val="24"/>
                <w:szCs w:val="24"/>
              </w:rPr>
              <w:t>27</w:t>
            </w:r>
            <w:r>
              <w:rPr>
                <w:rFonts w:asciiTheme="minorEastAsia" w:hAnsiTheme="minorEastAsia" w:hint="eastAsia"/>
                <w:sz w:val="24"/>
                <w:szCs w:val="24"/>
              </w:rPr>
              <w:t>日上午8:0</w:t>
            </w:r>
            <w:r>
              <w:rPr>
                <w:rFonts w:asciiTheme="minorEastAsia" w:hAnsiTheme="minorEastAsia"/>
                <w:sz w:val="24"/>
                <w:szCs w:val="24"/>
              </w:rPr>
              <w:t>0</w:t>
            </w:r>
            <w:r>
              <w:rPr>
                <w:rFonts w:asciiTheme="minorEastAsia" w:hAnsiTheme="minorEastAsia" w:hint="eastAsia"/>
                <w:sz w:val="24"/>
                <w:szCs w:val="24"/>
              </w:rPr>
              <w:t>，中泰证券、南方基金机构投资者和券商分析师</w:t>
            </w:r>
            <w:r w:rsidR="00AC56EC">
              <w:rPr>
                <w:rFonts w:asciiTheme="minorEastAsia" w:hAnsiTheme="minorEastAsia" w:hint="eastAsia"/>
                <w:sz w:val="24"/>
                <w:szCs w:val="24"/>
              </w:rPr>
              <w:t>等</w:t>
            </w:r>
            <w:r>
              <w:rPr>
                <w:rFonts w:asciiTheme="minorEastAsia" w:hAnsiTheme="minorEastAsia" w:hint="eastAsia"/>
                <w:sz w:val="24"/>
                <w:szCs w:val="24"/>
              </w:rPr>
              <w:t>4人</w:t>
            </w:r>
          </w:p>
          <w:p w:rsidR="00AC56EC" w:rsidRDefault="00E777C9" w:rsidP="00C37C58">
            <w:pPr>
              <w:spacing w:line="520" w:lineRule="exact"/>
              <w:rPr>
                <w:rFonts w:asciiTheme="minorEastAsia" w:hAnsiTheme="minorEastAsia"/>
                <w:sz w:val="24"/>
                <w:szCs w:val="24"/>
              </w:rPr>
            </w:pPr>
            <w:r>
              <w:rPr>
                <w:rFonts w:asciiTheme="minorEastAsia" w:hAnsiTheme="minorEastAsia" w:hint="eastAsia"/>
                <w:sz w:val="24"/>
                <w:szCs w:val="24"/>
              </w:rPr>
              <w:t>9月1</w:t>
            </w:r>
            <w:r>
              <w:rPr>
                <w:rFonts w:asciiTheme="minorEastAsia" w:hAnsiTheme="minorEastAsia"/>
                <w:sz w:val="24"/>
                <w:szCs w:val="24"/>
              </w:rPr>
              <w:t>2</w:t>
            </w:r>
            <w:r>
              <w:rPr>
                <w:rFonts w:asciiTheme="minorEastAsia" w:hAnsiTheme="minorEastAsia" w:hint="eastAsia"/>
                <w:sz w:val="24"/>
                <w:szCs w:val="24"/>
              </w:rPr>
              <w:t>日下午</w:t>
            </w:r>
            <w:r>
              <w:rPr>
                <w:rFonts w:asciiTheme="minorEastAsia" w:hAnsiTheme="minorEastAsia"/>
                <w:sz w:val="24"/>
                <w:szCs w:val="24"/>
              </w:rPr>
              <w:t>14</w:t>
            </w:r>
            <w:r>
              <w:rPr>
                <w:rFonts w:asciiTheme="minorEastAsia" w:hAnsiTheme="minorEastAsia" w:hint="eastAsia"/>
                <w:sz w:val="24"/>
                <w:szCs w:val="24"/>
              </w:rPr>
              <w:t>:3</w:t>
            </w:r>
            <w:r>
              <w:rPr>
                <w:rFonts w:asciiTheme="minorEastAsia" w:hAnsiTheme="minorEastAsia"/>
                <w:sz w:val="24"/>
                <w:szCs w:val="24"/>
              </w:rPr>
              <w:t>0</w:t>
            </w:r>
            <w:r>
              <w:rPr>
                <w:rFonts w:asciiTheme="minorEastAsia" w:hAnsiTheme="minorEastAsia" w:hint="eastAsia"/>
                <w:sz w:val="24"/>
                <w:szCs w:val="24"/>
              </w:rPr>
              <w:t>，</w:t>
            </w:r>
            <w:r w:rsidR="00AC56EC">
              <w:rPr>
                <w:rFonts w:asciiTheme="minorEastAsia" w:hAnsiTheme="minorEastAsia" w:hint="eastAsia"/>
                <w:sz w:val="24"/>
                <w:szCs w:val="24"/>
              </w:rPr>
              <w:t>华泰证券“走进上市公司——包头站”交流活动之走进包钢股份，</w:t>
            </w:r>
            <w:r>
              <w:rPr>
                <w:rFonts w:asciiTheme="minorEastAsia" w:hAnsiTheme="minorEastAsia" w:hint="eastAsia"/>
                <w:sz w:val="24"/>
                <w:szCs w:val="24"/>
              </w:rPr>
              <w:t>华泰证券、内蒙古伯纳程私募基金、包头聚信私募基金、国中长城（天津）资产公司、北京青创伯乐投资公司、西安关天私募投资公司、成都金枫银帆投资公司、</w:t>
            </w:r>
            <w:r w:rsidR="00AC56EC">
              <w:rPr>
                <w:rFonts w:asciiTheme="minorEastAsia" w:hAnsiTheme="minorEastAsia" w:hint="eastAsia"/>
                <w:sz w:val="24"/>
                <w:szCs w:val="24"/>
              </w:rPr>
              <w:t>上海尚欣投资企业、中证焦桐基金公司、内蒙古恒禾资产公司、上海晟盟资产公司、内蒙古新达科技股份公司、北京中版链科技公司等机构投资者和券商分析师等2</w:t>
            </w:r>
            <w:r w:rsidR="00AC56EC">
              <w:rPr>
                <w:rFonts w:asciiTheme="minorEastAsia" w:hAnsiTheme="minorEastAsia"/>
                <w:sz w:val="24"/>
                <w:szCs w:val="24"/>
              </w:rPr>
              <w:t>8</w:t>
            </w:r>
            <w:r w:rsidR="00AC56EC">
              <w:rPr>
                <w:rFonts w:asciiTheme="minorEastAsia" w:hAnsiTheme="minorEastAsia" w:hint="eastAsia"/>
                <w:sz w:val="24"/>
                <w:szCs w:val="24"/>
              </w:rPr>
              <w:t>人</w:t>
            </w:r>
          </w:p>
          <w:p w:rsidR="008F3E48" w:rsidRPr="00603FAE" w:rsidRDefault="00D465A1" w:rsidP="00C37C58">
            <w:pPr>
              <w:spacing w:line="520" w:lineRule="exact"/>
              <w:rPr>
                <w:rFonts w:asciiTheme="minorEastAsia" w:hAnsiTheme="minorEastAsia"/>
                <w:sz w:val="24"/>
                <w:szCs w:val="24"/>
              </w:rPr>
            </w:pPr>
            <w:r>
              <w:rPr>
                <w:rFonts w:asciiTheme="minorEastAsia" w:hAnsiTheme="minorEastAsia" w:hint="eastAsia"/>
                <w:sz w:val="24"/>
                <w:szCs w:val="24"/>
              </w:rPr>
              <w:t>9月2</w:t>
            </w:r>
            <w:r>
              <w:rPr>
                <w:rFonts w:asciiTheme="minorEastAsia" w:hAnsiTheme="minorEastAsia"/>
                <w:sz w:val="24"/>
                <w:szCs w:val="24"/>
              </w:rPr>
              <w:t>4</w:t>
            </w:r>
            <w:r>
              <w:rPr>
                <w:rFonts w:asciiTheme="minorEastAsia" w:hAnsiTheme="minorEastAsia" w:hint="eastAsia"/>
                <w:sz w:val="24"/>
                <w:szCs w:val="24"/>
              </w:rPr>
              <w:t>日下午，中信证券、泉果基金、长城财富保险等机构投资者和券商分析师等6人</w:t>
            </w:r>
          </w:p>
        </w:tc>
      </w:tr>
      <w:tr w:rsidR="00E34832" w:rsidTr="002C6A95">
        <w:trPr>
          <w:trHeight w:val="1123"/>
          <w:jc w:val="center"/>
        </w:trPr>
        <w:tc>
          <w:tcPr>
            <w:tcW w:w="2490" w:type="dxa"/>
          </w:tcPr>
          <w:p w:rsidR="00E34832" w:rsidRPr="00F64215" w:rsidRDefault="00E34832" w:rsidP="008E1A7C">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地点</w:t>
            </w:r>
            <w:r w:rsidR="00BA75B2">
              <w:rPr>
                <w:rFonts w:asciiTheme="minorEastAsia" w:hAnsiTheme="minorEastAsia" w:hint="eastAsia"/>
                <w:b/>
                <w:sz w:val="24"/>
                <w:szCs w:val="24"/>
              </w:rPr>
              <w:t>及形式</w:t>
            </w:r>
          </w:p>
        </w:tc>
        <w:tc>
          <w:tcPr>
            <w:tcW w:w="6577" w:type="dxa"/>
          </w:tcPr>
          <w:p w:rsidR="00E34832" w:rsidRPr="00990A9D" w:rsidRDefault="005449B0" w:rsidP="008E1A7C">
            <w:pPr>
              <w:spacing w:line="420" w:lineRule="exact"/>
              <w:rPr>
                <w:rFonts w:asciiTheme="minorEastAsia" w:hAnsiTheme="minorEastAsia"/>
                <w:sz w:val="24"/>
                <w:szCs w:val="24"/>
              </w:rPr>
            </w:pPr>
            <w:r>
              <w:rPr>
                <w:rFonts w:asciiTheme="minorEastAsia" w:hAnsiTheme="minorEastAsia" w:hint="eastAsia"/>
                <w:sz w:val="24"/>
                <w:szCs w:val="24"/>
              </w:rPr>
              <w:t>公司办公楼</w:t>
            </w:r>
            <w:r w:rsidR="0073169D">
              <w:rPr>
                <w:rFonts w:asciiTheme="minorEastAsia" w:hAnsiTheme="minorEastAsia" w:hint="eastAsia"/>
                <w:sz w:val="24"/>
                <w:szCs w:val="24"/>
              </w:rPr>
              <w:t>会议室</w:t>
            </w:r>
            <w:r w:rsidR="00BA75B2">
              <w:rPr>
                <w:rFonts w:asciiTheme="minorEastAsia" w:hAnsiTheme="minorEastAsia" w:hint="eastAsia"/>
                <w:sz w:val="24"/>
                <w:szCs w:val="24"/>
              </w:rPr>
              <w:t>，现场调研座谈及参观</w:t>
            </w:r>
          </w:p>
        </w:tc>
      </w:tr>
      <w:tr w:rsidR="00E34832" w:rsidTr="00404F64">
        <w:trPr>
          <w:jc w:val="center"/>
        </w:trPr>
        <w:tc>
          <w:tcPr>
            <w:tcW w:w="2490" w:type="dxa"/>
          </w:tcPr>
          <w:p w:rsidR="0058194C"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上市公司接待</w:t>
            </w:r>
          </w:p>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人员</w:t>
            </w:r>
          </w:p>
        </w:tc>
        <w:tc>
          <w:tcPr>
            <w:tcW w:w="6577" w:type="dxa"/>
          </w:tcPr>
          <w:p w:rsidR="00E34832" w:rsidRDefault="00636513" w:rsidP="008E1A7C">
            <w:pPr>
              <w:spacing w:line="420" w:lineRule="exact"/>
              <w:rPr>
                <w:rFonts w:asciiTheme="minorEastAsia" w:hAnsiTheme="minorEastAsia"/>
                <w:sz w:val="24"/>
                <w:szCs w:val="24"/>
              </w:rPr>
            </w:pPr>
            <w:r>
              <w:rPr>
                <w:rFonts w:asciiTheme="minorEastAsia" w:hAnsiTheme="minorEastAsia" w:hint="eastAsia"/>
                <w:sz w:val="24"/>
                <w:szCs w:val="24"/>
              </w:rPr>
              <w:t>公司董事、董事会秘书刘宓女士，证券融资部等相关部门</w:t>
            </w:r>
            <w:r w:rsidR="0073169D">
              <w:rPr>
                <w:rFonts w:asciiTheme="minorEastAsia" w:hAnsiTheme="minorEastAsia" w:hint="eastAsia"/>
                <w:sz w:val="24"/>
                <w:szCs w:val="24"/>
              </w:rPr>
              <w:t>人员。</w:t>
            </w:r>
          </w:p>
          <w:p w:rsidR="00155E6A" w:rsidRDefault="00155E6A" w:rsidP="008E1A7C">
            <w:pPr>
              <w:spacing w:line="420" w:lineRule="exact"/>
              <w:rPr>
                <w:rFonts w:asciiTheme="minorEastAsia" w:hAnsiTheme="minorEastAsia"/>
                <w:sz w:val="24"/>
                <w:szCs w:val="24"/>
              </w:rPr>
            </w:pPr>
          </w:p>
          <w:p w:rsidR="00155E6A" w:rsidRPr="00990A9D" w:rsidRDefault="00155E6A" w:rsidP="008E1A7C">
            <w:pPr>
              <w:spacing w:line="420" w:lineRule="exact"/>
              <w:rPr>
                <w:rFonts w:asciiTheme="minorEastAsia" w:hAnsiTheme="minorEastAsia"/>
                <w:sz w:val="24"/>
                <w:szCs w:val="24"/>
              </w:rPr>
            </w:pPr>
          </w:p>
        </w:tc>
      </w:tr>
      <w:tr w:rsidR="00E34832" w:rsidTr="00865DF0">
        <w:trPr>
          <w:trHeight w:val="4952"/>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lastRenderedPageBreak/>
              <w:t>投资者关系活动主要内容介绍</w:t>
            </w:r>
          </w:p>
        </w:tc>
        <w:tc>
          <w:tcPr>
            <w:tcW w:w="6577" w:type="dxa"/>
            <w:shd w:val="clear" w:color="auto" w:fill="auto"/>
          </w:tcPr>
          <w:p w:rsidR="004353E5" w:rsidRPr="004353E5" w:rsidRDefault="004353E5"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投资者沟通交流活动的主要内容归纳整理如下：</w:t>
            </w:r>
          </w:p>
          <w:p w:rsidR="00603FAE" w:rsidRPr="004353E5" w:rsidRDefault="00603FAE" w:rsidP="004353E5">
            <w:pPr>
              <w:spacing w:line="520" w:lineRule="exact"/>
              <w:ind w:firstLineChars="200" w:firstLine="482"/>
              <w:rPr>
                <w:rFonts w:asciiTheme="minorEastAsia" w:hAnsiTheme="minorEastAsia"/>
                <w:b/>
                <w:sz w:val="24"/>
                <w:szCs w:val="24"/>
              </w:rPr>
            </w:pPr>
            <w:r w:rsidRPr="004353E5">
              <w:rPr>
                <w:rFonts w:asciiTheme="minorEastAsia" w:hAnsiTheme="minorEastAsia" w:hint="eastAsia"/>
                <w:b/>
                <w:sz w:val="24"/>
                <w:szCs w:val="24"/>
              </w:rPr>
              <w:t>1.公司提出“稀土钢”差异化战略多年，目前稀土钢产品占总产量的具体比例？相比普通钢材的溢价能力如何？</w:t>
            </w:r>
            <w:r w:rsidRPr="004353E5">
              <w:rPr>
                <w:rFonts w:asciiTheme="minorEastAsia" w:hAnsiTheme="minorEastAsia"/>
                <w:b/>
                <w:sz w:val="24"/>
                <w:szCs w:val="24"/>
              </w:rPr>
              <w:t xml:space="preserve"> </w:t>
            </w:r>
          </w:p>
          <w:p w:rsidR="00603FAE" w:rsidRPr="004353E5" w:rsidRDefault="00603FAE" w:rsidP="0058194C">
            <w:pPr>
              <w:spacing w:line="520" w:lineRule="exact"/>
              <w:ind w:firstLineChars="250" w:firstLine="600"/>
              <w:rPr>
                <w:rFonts w:asciiTheme="minorEastAsia" w:hAnsiTheme="minorEastAsia"/>
                <w:sz w:val="24"/>
                <w:szCs w:val="24"/>
              </w:rPr>
            </w:pPr>
            <w:r w:rsidRPr="004353E5">
              <w:rPr>
                <w:rFonts w:asciiTheme="minorEastAsia" w:hAnsiTheme="minorEastAsia" w:hint="eastAsia"/>
                <w:sz w:val="24"/>
                <w:szCs w:val="24"/>
              </w:rPr>
              <w:t>近年来，公司坚持“优质精品钢+系列稀土钢”为产品结构调整方向，做精做优钢铁主业，以打造国内领先、品牌卓著的稀土钢新材料综合供应商和服务商的高质量发展为目标，推动了稀土钢品种系列化、标准化、高端化。</w:t>
            </w:r>
          </w:p>
          <w:p w:rsidR="00603FAE" w:rsidRPr="004353E5" w:rsidRDefault="00603FAE" w:rsidP="004353E5">
            <w:pPr>
              <w:spacing w:line="520" w:lineRule="exact"/>
              <w:ind w:firstLine="660"/>
              <w:rPr>
                <w:rFonts w:asciiTheme="minorEastAsia" w:hAnsiTheme="minorEastAsia"/>
                <w:sz w:val="24"/>
                <w:szCs w:val="24"/>
              </w:rPr>
            </w:pPr>
            <w:r w:rsidRPr="004353E5">
              <w:rPr>
                <w:rFonts w:asciiTheme="minorEastAsia" w:hAnsiTheme="minorEastAsia"/>
                <w:sz w:val="24"/>
                <w:szCs w:val="24"/>
              </w:rPr>
              <w:t>2024</w:t>
            </w:r>
            <w:r w:rsidRPr="004353E5">
              <w:rPr>
                <w:rFonts w:asciiTheme="minorEastAsia" w:hAnsiTheme="minorEastAsia" w:hint="eastAsia"/>
                <w:sz w:val="24"/>
                <w:szCs w:val="24"/>
              </w:rPr>
              <w:t>年，公司依托自治区稀土钢产品研发重点实验室，形成6</w:t>
            </w:r>
            <w:r w:rsidRPr="004353E5">
              <w:rPr>
                <w:rFonts w:asciiTheme="minorEastAsia" w:hAnsiTheme="minorEastAsia"/>
                <w:sz w:val="24"/>
                <w:szCs w:val="24"/>
              </w:rPr>
              <w:t>7</w:t>
            </w:r>
            <w:r w:rsidRPr="004353E5">
              <w:rPr>
                <w:rFonts w:asciiTheme="minorEastAsia" w:hAnsiTheme="minorEastAsia" w:hint="eastAsia"/>
                <w:sz w:val="24"/>
                <w:szCs w:val="24"/>
              </w:rPr>
              <w:t>个品种、近3</w:t>
            </w:r>
            <w:r w:rsidRPr="004353E5">
              <w:rPr>
                <w:rFonts w:asciiTheme="minorEastAsia" w:hAnsiTheme="minorEastAsia"/>
                <w:sz w:val="24"/>
                <w:szCs w:val="24"/>
              </w:rPr>
              <w:t>00</w:t>
            </w:r>
            <w:r w:rsidRPr="004353E5">
              <w:rPr>
                <w:rFonts w:asciiTheme="minorEastAsia" w:hAnsiTheme="minorEastAsia" w:hint="eastAsia"/>
                <w:sz w:val="24"/>
                <w:szCs w:val="24"/>
              </w:rPr>
              <w:t>个牌号的稀土钢新材料，公司稀土钢产量达到1</w:t>
            </w:r>
            <w:r w:rsidRPr="004353E5">
              <w:rPr>
                <w:rFonts w:asciiTheme="minorEastAsia" w:hAnsiTheme="minorEastAsia"/>
                <w:sz w:val="24"/>
                <w:szCs w:val="24"/>
              </w:rPr>
              <w:t>50</w:t>
            </w:r>
            <w:r w:rsidRPr="004353E5">
              <w:rPr>
                <w:rFonts w:asciiTheme="minorEastAsia" w:hAnsiTheme="minorEastAsia" w:hint="eastAsia"/>
                <w:sz w:val="24"/>
                <w:szCs w:val="24"/>
              </w:rPr>
              <w:t>万吨，创历史新高。</w:t>
            </w:r>
            <w:r w:rsidR="00D9660D" w:rsidRPr="004353E5">
              <w:rPr>
                <w:rFonts w:asciiTheme="minorEastAsia" w:hAnsiTheme="minorEastAsia" w:hint="eastAsia"/>
                <w:sz w:val="24"/>
                <w:szCs w:val="24"/>
              </w:rPr>
              <w:t>上半年稀土钢新材料完成101.71万吨，创同期新高。</w:t>
            </w:r>
          </w:p>
          <w:p w:rsidR="00603FAE" w:rsidRPr="004353E5" w:rsidRDefault="007D669E" w:rsidP="00DB2BC0">
            <w:pPr>
              <w:tabs>
                <w:tab w:val="num" w:pos="1440"/>
              </w:tabs>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钢中含</w:t>
            </w:r>
            <w:r w:rsidR="00DB2BC0" w:rsidRPr="007D669E">
              <w:rPr>
                <w:rFonts w:asciiTheme="minorEastAsia" w:hAnsiTheme="minorEastAsia" w:hint="eastAsia"/>
                <w:sz w:val="24"/>
                <w:szCs w:val="24"/>
              </w:rPr>
              <w:t>稀土更坚、更韧、更强，公司稀土钢在</w:t>
            </w:r>
            <w:r w:rsidR="00B93134" w:rsidRPr="007D669E">
              <w:rPr>
                <w:rFonts w:asciiTheme="minorEastAsia" w:hAnsiTheme="minorEastAsia" w:hint="eastAsia"/>
                <w:sz w:val="24"/>
                <w:szCs w:val="24"/>
              </w:rPr>
              <w:t>洁净度、</w:t>
            </w:r>
            <w:r w:rsidR="00DB2BC0" w:rsidRPr="007D669E">
              <w:rPr>
                <w:rFonts w:asciiTheme="minorEastAsia" w:hAnsiTheme="minorEastAsia" w:hint="eastAsia"/>
                <w:sz w:val="24"/>
                <w:szCs w:val="24"/>
              </w:rPr>
              <w:t>延展性、高强韧性、耐磨性、耐腐蚀性、拉拔性</w:t>
            </w:r>
            <w:r w:rsidR="00DB2BC0" w:rsidRPr="007D669E">
              <w:rPr>
                <w:rFonts w:asciiTheme="minorEastAsia" w:hAnsiTheme="minorEastAsia" w:hint="eastAsia"/>
                <w:sz w:val="24"/>
                <w:szCs w:val="24"/>
              </w:rPr>
              <w:t>等方面显著优于普通钢材</w:t>
            </w:r>
            <w:r w:rsidRPr="007D669E">
              <w:rPr>
                <w:rFonts w:asciiTheme="minorEastAsia" w:hAnsiTheme="minorEastAsia" w:hint="eastAsia"/>
                <w:sz w:val="24"/>
                <w:szCs w:val="24"/>
              </w:rPr>
              <w:t>，</w:t>
            </w:r>
            <w:r>
              <w:rPr>
                <w:rFonts w:asciiTheme="minorEastAsia" w:hAnsiTheme="minorEastAsia" w:hint="eastAsia"/>
                <w:sz w:val="24"/>
                <w:szCs w:val="24"/>
              </w:rPr>
              <w:t>相比普通钢材</w:t>
            </w:r>
            <w:bookmarkStart w:id="0" w:name="_GoBack"/>
            <w:bookmarkEnd w:id="0"/>
            <w:r w:rsidRPr="007D669E">
              <w:rPr>
                <w:rFonts w:asciiTheme="minorEastAsia" w:hAnsiTheme="minorEastAsia" w:hint="eastAsia"/>
                <w:sz w:val="24"/>
                <w:szCs w:val="24"/>
              </w:rPr>
              <w:t>溢价能力</w:t>
            </w:r>
            <w:r w:rsidRPr="007D669E">
              <w:rPr>
                <w:rFonts w:asciiTheme="minorEastAsia" w:hAnsiTheme="minorEastAsia" w:hint="eastAsia"/>
                <w:sz w:val="24"/>
                <w:szCs w:val="24"/>
              </w:rPr>
              <w:t>更强</w:t>
            </w:r>
            <w:r w:rsidR="00DB2BC0" w:rsidRPr="007D669E">
              <w:rPr>
                <w:rFonts w:asciiTheme="minorEastAsia" w:hAnsiTheme="minorEastAsia" w:hint="eastAsia"/>
                <w:sz w:val="24"/>
                <w:szCs w:val="24"/>
              </w:rPr>
              <w:t>。</w:t>
            </w:r>
          </w:p>
          <w:p w:rsidR="00603FAE" w:rsidRPr="004353E5" w:rsidRDefault="00603FAE" w:rsidP="004353E5">
            <w:pPr>
              <w:spacing w:line="520" w:lineRule="exact"/>
              <w:ind w:firstLineChars="200" w:firstLine="482"/>
              <w:rPr>
                <w:rFonts w:asciiTheme="minorEastAsia" w:hAnsiTheme="minorEastAsia"/>
                <w:b/>
                <w:sz w:val="24"/>
                <w:szCs w:val="24"/>
              </w:rPr>
            </w:pPr>
            <w:r w:rsidRPr="004353E5">
              <w:rPr>
                <w:rFonts w:asciiTheme="minorEastAsia" w:hAnsiTheme="minorEastAsia" w:hint="eastAsia"/>
                <w:b/>
                <w:sz w:val="24"/>
                <w:szCs w:val="24"/>
              </w:rPr>
              <w:t>2.稀土钢未来3年技术壁垒突破点？</w:t>
            </w:r>
          </w:p>
          <w:p w:rsidR="004E56CA" w:rsidRPr="004353E5" w:rsidRDefault="004E56CA"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未来3</w:t>
            </w:r>
            <w:r w:rsidR="002C6A95">
              <w:rPr>
                <w:rFonts w:asciiTheme="minorEastAsia" w:hAnsiTheme="minorEastAsia" w:hint="eastAsia"/>
                <w:sz w:val="24"/>
                <w:szCs w:val="24"/>
              </w:rPr>
              <w:t>年，包钢股份</w:t>
            </w:r>
            <w:r w:rsidRPr="004353E5">
              <w:rPr>
                <w:rFonts w:asciiTheme="minorEastAsia" w:hAnsiTheme="minorEastAsia" w:hint="eastAsia"/>
                <w:sz w:val="24"/>
                <w:szCs w:val="24"/>
              </w:rPr>
              <w:t>聚焦于深化稀土钢技术，进一步提升钢材综合性能；在低碳氢冶金技术上加大研发，降低碳排放并提升生产效率；深挖耐蚀等高功效绿色稀土钢技术，研发极端环境下高性能稀土钢种，满足最大工程和特殊服役领域需求。</w:t>
            </w:r>
          </w:p>
          <w:p w:rsidR="00603FAE" w:rsidRPr="004353E5" w:rsidRDefault="00603FAE" w:rsidP="004353E5">
            <w:pPr>
              <w:spacing w:line="520" w:lineRule="exact"/>
              <w:ind w:firstLineChars="200" w:firstLine="482"/>
              <w:rPr>
                <w:rFonts w:asciiTheme="minorEastAsia" w:hAnsiTheme="minorEastAsia"/>
                <w:b/>
                <w:sz w:val="24"/>
                <w:szCs w:val="24"/>
              </w:rPr>
            </w:pPr>
            <w:r w:rsidRPr="004353E5">
              <w:rPr>
                <w:rFonts w:asciiTheme="minorEastAsia" w:hAnsiTheme="minorEastAsia"/>
                <w:b/>
                <w:sz w:val="24"/>
                <w:szCs w:val="24"/>
              </w:rPr>
              <w:t>3</w:t>
            </w:r>
            <w:r w:rsidR="003765A3">
              <w:rPr>
                <w:rFonts w:asciiTheme="minorEastAsia" w:hAnsiTheme="minorEastAsia" w:hint="eastAsia"/>
                <w:b/>
                <w:sz w:val="24"/>
                <w:szCs w:val="24"/>
              </w:rPr>
              <w:t>.</w:t>
            </w:r>
            <w:r w:rsidRPr="004353E5">
              <w:rPr>
                <w:rFonts w:asciiTheme="minorEastAsia" w:hAnsiTheme="minorEastAsia" w:hint="eastAsia"/>
                <w:b/>
                <w:sz w:val="24"/>
                <w:szCs w:val="24"/>
              </w:rPr>
              <w:t>当前钢铁行业需求承压，是否考虑主动减产？如何平衡稀土资源开发与钢铁主业产能？</w:t>
            </w:r>
          </w:p>
          <w:p w:rsidR="00603FAE"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包钢股份坚持以市场为引领，以效益为中心，聚焦品种结构高端化、经营效益高质化、管理服务高效化，正以“优质精品钢+系列稀土钢”为特色的产品结构进行调整，</w:t>
            </w:r>
            <w:r w:rsidR="00B71AA8" w:rsidRPr="007D669E">
              <w:rPr>
                <w:rFonts w:asciiTheme="minorEastAsia" w:hAnsiTheme="minorEastAsia" w:hint="eastAsia"/>
                <w:sz w:val="24"/>
                <w:szCs w:val="24"/>
              </w:rPr>
              <w:t>主动减少建筑用钢等低效产品的生产比例，聚焦</w:t>
            </w:r>
            <w:r w:rsidR="00E00A37" w:rsidRPr="007D669E">
              <w:rPr>
                <w:rFonts w:asciiTheme="minorEastAsia" w:hAnsiTheme="minorEastAsia" w:hint="eastAsia"/>
                <w:sz w:val="24"/>
                <w:szCs w:val="24"/>
              </w:rPr>
              <w:t>高端领域用钢拓展产品集群，围绕</w:t>
            </w:r>
            <w:r w:rsidR="00713842" w:rsidRPr="007D669E">
              <w:rPr>
                <w:rFonts w:asciiTheme="minorEastAsia" w:hAnsiTheme="minorEastAsia" w:hint="eastAsia"/>
                <w:sz w:val="24"/>
                <w:szCs w:val="24"/>
              </w:rPr>
              <w:t>国家重大工程、国家战略领域以及重点核心企业的应用</w:t>
            </w:r>
            <w:r w:rsidR="00B71AA8" w:rsidRPr="007D669E">
              <w:rPr>
                <w:rFonts w:asciiTheme="minorEastAsia" w:hAnsiTheme="minorEastAsia" w:hint="eastAsia"/>
                <w:sz w:val="24"/>
                <w:szCs w:val="24"/>
              </w:rPr>
              <w:t>推动</w:t>
            </w:r>
            <w:r w:rsidR="00B71AA8" w:rsidRPr="007D669E">
              <w:rPr>
                <w:rFonts w:asciiTheme="minorEastAsia" w:hAnsiTheme="minorEastAsia" w:hint="eastAsia"/>
                <w:sz w:val="24"/>
                <w:szCs w:val="24"/>
              </w:rPr>
              <w:t>产品</w:t>
            </w:r>
            <w:r w:rsidR="00B71AA8" w:rsidRPr="007D669E">
              <w:rPr>
                <w:rFonts w:asciiTheme="minorEastAsia" w:hAnsiTheme="minorEastAsia" w:hint="eastAsia"/>
                <w:sz w:val="24"/>
                <w:szCs w:val="24"/>
              </w:rPr>
              <w:t>系列化、标准</w:t>
            </w:r>
            <w:r w:rsidR="00B71AA8" w:rsidRPr="007D669E">
              <w:rPr>
                <w:rFonts w:asciiTheme="minorEastAsia" w:hAnsiTheme="minorEastAsia" w:hint="eastAsia"/>
                <w:sz w:val="24"/>
                <w:szCs w:val="24"/>
              </w:rPr>
              <w:lastRenderedPageBreak/>
              <w:t>化、高端化</w:t>
            </w:r>
            <w:r w:rsidRPr="007D669E">
              <w:rPr>
                <w:rFonts w:asciiTheme="minorEastAsia" w:hAnsiTheme="minorEastAsia" w:hint="eastAsia"/>
                <w:sz w:val="24"/>
                <w:szCs w:val="24"/>
              </w:rPr>
              <w:t>。</w:t>
            </w:r>
          </w:p>
          <w:p w:rsidR="00603FAE"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严格按照国家稀土开采总量控制指标组织稀土精矿生产，钢铁主业结合市场和设备运行情况，按照低于核准产能下合理组织生产。</w:t>
            </w:r>
          </w:p>
          <w:p w:rsidR="00603FAE" w:rsidRPr="004353E5" w:rsidRDefault="00603FAE" w:rsidP="004353E5">
            <w:pPr>
              <w:spacing w:line="520" w:lineRule="exact"/>
              <w:ind w:firstLineChars="200" w:firstLine="482"/>
              <w:rPr>
                <w:rFonts w:asciiTheme="minorEastAsia" w:hAnsiTheme="minorEastAsia"/>
                <w:b/>
                <w:sz w:val="24"/>
                <w:szCs w:val="24"/>
              </w:rPr>
            </w:pPr>
            <w:r w:rsidRPr="004353E5">
              <w:rPr>
                <w:rFonts w:asciiTheme="minorEastAsia" w:hAnsiTheme="minorEastAsia"/>
                <w:b/>
                <w:sz w:val="24"/>
                <w:szCs w:val="24"/>
              </w:rPr>
              <w:t>4</w:t>
            </w:r>
            <w:r w:rsidR="003765A3">
              <w:rPr>
                <w:rFonts w:asciiTheme="minorEastAsia" w:hAnsiTheme="minorEastAsia" w:hint="eastAsia"/>
                <w:b/>
                <w:sz w:val="24"/>
                <w:szCs w:val="24"/>
              </w:rPr>
              <w:t>.</w:t>
            </w:r>
            <w:r w:rsidRPr="004353E5">
              <w:rPr>
                <w:rFonts w:asciiTheme="minorEastAsia" w:hAnsiTheme="minorEastAsia" w:hint="eastAsia"/>
                <w:b/>
                <w:sz w:val="24"/>
                <w:szCs w:val="24"/>
              </w:rPr>
              <w:t>国家控制稀土出口导致的价格上涨和出口量下跌，对公司哪个影响更大？</w:t>
            </w:r>
            <w:r w:rsidRPr="004353E5">
              <w:rPr>
                <w:rFonts w:asciiTheme="minorEastAsia" w:hAnsiTheme="minorEastAsia"/>
                <w:b/>
                <w:sz w:val="24"/>
                <w:szCs w:val="24"/>
              </w:rPr>
              <w:t xml:space="preserve"> </w:t>
            </w:r>
          </w:p>
          <w:p w:rsidR="00603FAE"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公司按照国家稀土总量控制指标生产稀土精矿，全部供应给北方稀土，每季度首月上旬，公司会根据已公告的定价机制和定价公式进行定价并公告，其中公式中指标之一为五网稀土氧化物均价，所以，市场稀土氧化物均价变化，公司的稀土精矿定价也随之变化。</w:t>
            </w:r>
          </w:p>
          <w:p w:rsidR="00603FAE" w:rsidRPr="004353E5" w:rsidRDefault="00603FAE" w:rsidP="004353E5">
            <w:pPr>
              <w:spacing w:line="520" w:lineRule="exact"/>
              <w:ind w:firstLineChars="200" w:firstLine="482"/>
              <w:rPr>
                <w:rFonts w:asciiTheme="minorEastAsia" w:hAnsiTheme="minorEastAsia"/>
                <w:b/>
                <w:sz w:val="24"/>
                <w:szCs w:val="24"/>
              </w:rPr>
            </w:pPr>
            <w:r w:rsidRPr="004353E5">
              <w:rPr>
                <w:rFonts w:asciiTheme="minorEastAsia" w:hAnsiTheme="minorEastAsia"/>
                <w:b/>
                <w:sz w:val="24"/>
                <w:szCs w:val="24"/>
              </w:rPr>
              <w:t>5</w:t>
            </w:r>
            <w:r w:rsidR="003765A3">
              <w:rPr>
                <w:rFonts w:asciiTheme="minorEastAsia" w:hAnsiTheme="minorEastAsia" w:hint="eastAsia"/>
                <w:b/>
                <w:sz w:val="24"/>
                <w:szCs w:val="24"/>
              </w:rPr>
              <w:t>.</w:t>
            </w:r>
            <w:r w:rsidR="007B11B9" w:rsidRPr="004353E5">
              <w:rPr>
                <w:rFonts w:asciiTheme="minorEastAsia" w:hAnsiTheme="minorEastAsia" w:hint="eastAsia"/>
                <w:b/>
                <w:sz w:val="24"/>
                <w:szCs w:val="24"/>
              </w:rPr>
              <w:t>公司</w:t>
            </w:r>
            <w:r w:rsidRPr="004353E5">
              <w:rPr>
                <w:rFonts w:asciiTheme="minorEastAsia" w:hAnsiTheme="minorEastAsia" w:hint="eastAsia"/>
                <w:b/>
                <w:sz w:val="24"/>
                <w:szCs w:val="24"/>
              </w:rPr>
              <w:t>未来如何平衡研发投入与股东回报？是否考虑提高现金分红或回购股份？</w:t>
            </w:r>
            <w:r w:rsidRPr="004353E5">
              <w:rPr>
                <w:rFonts w:asciiTheme="minorEastAsia" w:hAnsiTheme="minorEastAsia"/>
                <w:b/>
                <w:sz w:val="24"/>
                <w:szCs w:val="24"/>
              </w:rPr>
              <w:t xml:space="preserve"> </w:t>
            </w:r>
          </w:p>
          <w:p w:rsidR="00603FAE"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2024年，公司全年研发投入强度达5%以上，打造高水平研发平台，拥有和参与共建的国家级科研平台 2 个、省级平台 3 个、院士工作站 2个。推进人才飞地建设，成立“北京包钢钢铁技术有限公司”。承担并参与 2030 国家新材料专项研发计划子课题2项，承担稀土新材料技术创新中心项目1 项、自治区重点实验室资金补助项目1 项。依托自治区稀土钢产品研发重点实验室,形成67 个品种、近 300个牌号的稀土钢新材料。瞄准重点难点加大科技成果转化力度。全年150 项创新成果获实用新型专利授权，2 项科研成果获评行业和自治区奖项，“转炉煤气全干法显热回收绿色低碳新技术与装备”科技成果达到国际领先水平。</w:t>
            </w:r>
          </w:p>
          <w:p w:rsidR="00603FAE"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公司高度重视投资者回报，上市以来累计现金分红43.96亿元。2024年度向全体股东派发现金红利9057.72万元，利润分配额占本年度归属于上市公司股东净利润的比例34.23%。连续实施回购增厚投资者每股收益，提高长期投资价值，2025年3</w:t>
            </w:r>
            <w:r w:rsidR="002C6A95">
              <w:rPr>
                <w:rFonts w:asciiTheme="minorEastAsia" w:hAnsiTheme="minorEastAsia" w:hint="eastAsia"/>
                <w:sz w:val="24"/>
                <w:szCs w:val="24"/>
              </w:rPr>
              <w:t>月实施完成</w:t>
            </w:r>
            <w:r w:rsidRPr="004353E5">
              <w:rPr>
                <w:rFonts w:asciiTheme="minorEastAsia" w:hAnsiTheme="minorEastAsia" w:hint="eastAsia"/>
                <w:sz w:val="24"/>
                <w:szCs w:val="24"/>
              </w:rPr>
              <w:t>回购1.99亿元将视为2025年度的分红，2025年4月再次发布回购方案</w:t>
            </w:r>
            <w:r w:rsidRPr="004353E5">
              <w:rPr>
                <w:rFonts w:asciiTheme="minorEastAsia" w:hAnsiTheme="minorEastAsia" w:hint="eastAsia"/>
                <w:sz w:val="24"/>
                <w:szCs w:val="24"/>
              </w:rPr>
              <w:lastRenderedPageBreak/>
              <w:t>将以集中竞价方式开展1-2</w:t>
            </w:r>
            <w:r w:rsidR="007B11B9" w:rsidRPr="004353E5">
              <w:rPr>
                <w:rFonts w:asciiTheme="minorEastAsia" w:hAnsiTheme="minorEastAsia" w:hint="eastAsia"/>
                <w:sz w:val="24"/>
                <w:szCs w:val="24"/>
              </w:rPr>
              <w:t>亿元的股票回购业务，目前正在实施中。</w:t>
            </w:r>
            <w:r w:rsidRPr="004353E5">
              <w:rPr>
                <w:rFonts w:asciiTheme="minorEastAsia" w:hAnsiTheme="minorEastAsia"/>
                <w:sz w:val="24"/>
                <w:szCs w:val="24"/>
              </w:rPr>
              <w:t xml:space="preserve">  </w:t>
            </w:r>
          </w:p>
          <w:p w:rsidR="00E02CA6" w:rsidRPr="004353E5" w:rsidRDefault="00603FAE"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未来，公司将持续加大研发投入，以科技创新引领产业创新，积极培育和发展新质生产力，提高公司差异化竞争力，以良好的业绩回报广大投资者，进一步提高现金分红或回购股份力度。</w:t>
            </w:r>
          </w:p>
          <w:p w:rsidR="00E02CA6" w:rsidRPr="004353E5" w:rsidRDefault="000907DB" w:rsidP="004353E5">
            <w:pPr>
              <w:spacing w:line="520" w:lineRule="exact"/>
              <w:ind w:firstLineChars="200" w:firstLine="482"/>
              <w:rPr>
                <w:rFonts w:asciiTheme="minorEastAsia" w:hAnsiTheme="minorEastAsia"/>
                <w:b/>
                <w:sz w:val="24"/>
                <w:szCs w:val="24"/>
              </w:rPr>
            </w:pPr>
            <w:r>
              <w:rPr>
                <w:rFonts w:asciiTheme="minorEastAsia" w:hAnsiTheme="minorEastAsia"/>
                <w:b/>
                <w:sz w:val="24"/>
                <w:szCs w:val="24"/>
              </w:rPr>
              <w:t>6</w:t>
            </w:r>
            <w:r w:rsidR="00E02CA6" w:rsidRPr="004353E5">
              <w:rPr>
                <w:rFonts w:asciiTheme="minorEastAsia" w:hAnsiTheme="minorEastAsia" w:hint="eastAsia"/>
                <w:b/>
                <w:sz w:val="24"/>
                <w:szCs w:val="24"/>
              </w:rPr>
              <w:t>.反内卷背景下，公司自身钢铁业务受到了哪些影响？</w:t>
            </w:r>
          </w:p>
          <w:p w:rsidR="00E02CA6" w:rsidRPr="004353E5" w:rsidRDefault="00E02CA6"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答：今年以来，包钢股份通过密切与下游用户联系沟通、对标行业先进企业与先进技术，积极开发低碳绿色新产品以适应新质生产行业需求，并积极推进超低排放改造与极致能耗工程项目建设。近期，包钢股份积极响应国家“反内卷”号召，减少并严格控制效益较低、市场“内卷”严重的普通钢材生产，同时，加大对新型电力设施、储能设备、汽车、家电、机械等产品研发、生产与销售力度。目前，随着“反内卷”深入，短期稳定钢材价格、提升公司效益，未来对包钢股份加快绿色低碳、智能制造、产链协同起到更好促进作用。</w:t>
            </w:r>
          </w:p>
          <w:p w:rsidR="00B84298" w:rsidRPr="0058194C" w:rsidRDefault="000907DB" w:rsidP="004353E5">
            <w:pPr>
              <w:pStyle w:val="a8"/>
              <w:spacing w:line="520" w:lineRule="exact"/>
              <w:ind w:left="0" w:firstLineChars="200" w:firstLine="482"/>
              <w:rPr>
                <w:rFonts w:asciiTheme="minorEastAsia" w:eastAsiaTheme="minorEastAsia" w:hAnsiTheme="minorEastAsia" w:cstheme="minorBidi"/>
                <w:b/>
                <w:sz w:val="24"/>
                <w:szCs w:val="24"/>
              </w:rPr>
            </w:pPr>
            <w:r>
              <w:rPr>
                <w:rFonts w:asciiTheme="minorEastAsia" w:eastAsiaTheme="minorEastAsia" w:hAnsiTheme="minorEastAsia" w:cstheme="minorBidi"/>
                <w:b/>
                <w:sz w:val="24"/>
                <w:szCs w:val="24"/>
              </w:rPr>
              <w:t>7</w:t>
            </w:r>
            <w:r w:rsidR="004353E5" w:rsidRPr="0058194C">
              <w:rPr>
                <w:rFonts w:asciiTheme="minorEastAsia" w:eastAsiaTheme="minorEastAsia" w:hAnsiTheme="minorEastAsia" w:cstheme="minorBidi"/>
                <w:b/>
                <w:sz w:val="24"/>
                <w:szCs w:val="24"/>
              </w:rPr>
              <w:t>.</w:t>
            </w:r>
            <w:r w:rsidR="00B84298" w:rsidRPr="0058194C">
              <w:rPr>
                <w:rFonts w:asciiTheme="minorEastAsia" w:eastAsiaTheme="minorEastAsia" w:hAnsiTheme="minorEastAsia" w:cstheme="minorBidi" w:hint="eastAsia"/>
                <w:b/>
                <w:sz w:val="24"/>
                <w:szCs w:val="24"/>
              </w:rPr>
              <w:t>钢铁行业反内卷有什么具体措施？目前实施情况如何？</w:t>
            </w:r>
            <w:r w:rsidR="0058194C" w:rsidRPr="0058194C">
              <w:rPr>
                <w:rFonts w:asciiTheme="minorEastAsia" w:eastAsiaTheme="minorEastAsia" w:hAnsiTheme="minorEastAsia" w:cstheme="minorBidi" w:hint="eastAsia"/>
                <w:b/>
                <w:sz w:val="24"/>
                <w:szCs w:val="24"/>
              </w:rPr>
              <w:t xml:space="preserve"> </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钢铁行业方面：</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一是严禁新增产能，强化产量压减</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政策内容：通过差别化产能置换、环保管理等政策，严格限制新增产能，并实施年度产量调控任务。例如，对全废钢电炉炼钢项目执行更严格的产能置换标准，推动落后产能退出。</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实施情况：2025年前7个月，国内粗钢产量同比下降1926万吨，降幅3.14%;整个行业产量逐步收缩。</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二是优化供给结构，提升高端产品占比</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政策内容：大力发展高性能轴承钢、齿轮钢、高温合金钢等高端品种，推动大宗产品质量升级。例如，制造业用钢需求占比从2020年的36.26%升至2024年的43.01%，政策旨在进一步契合这一趋势。</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lastRenderedPageBreak/>
              <w:t>实施情况：部分企业已加快高端产品研发，但整体行业仍面临同质化竞争压力。</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公司方面：</w:t>
            </w:r>
          </w:p>
          <w:p w:rsidR="00B84298" w:rsidRPr="004353E5" w:rsidRDefault="00B84298" w:rsidP="004353E5">
            <w:pPr>
              <w:widowControl/>
              <w:spacing w:line="520" w:lineRule="exact"/>
              <w:ind w:firstLineChars="200" w:firstLine="480"/>
              <w:jc w:val="left"/>
              <w:rPr>
                <w:rFonts w:asciiTheme="minorEastAsia" w:hAnsiTheme="minorEastAsia"/>
                <w:sz w:val="24"/>
                <w:szCs w:val="24"/>
              </w:rPr>
            </w:pPr>
            <w:r w:rsidRPr="004353E5">
              <w:rPr>
                <w:rFonts w:asciiTheme="minorEastAsia" w:hAnsiTheme="minorEastAsia" w:hint="eastAsia"/>
                <w:sz w:val="24"/>
                <w:szCs w:val="24"/>
              </w:rPr>
              <w:t>目前包钢股份遵循效益最大化原则制定月度资源计划：优先将效益排序靠前的产线产能打满，并细致分析产线内部各品种盈利水平，确保资源向高效益品种及区域倾斜。</w:t>
            </w:r>
            <w:r w:rsidRPr="004353E5">
              <w:rPr>
                <w:rFonts w:asciiTheme="minorEastAsia" w:hAnsiTheme="minorEastAsia"/>
                <w:sz w:val="24"/>
                <w:szCs w:val="24"/>
              </w:rPr>
              <w:t>今年以来</w:t>
            </w:r>
            <w:r w:rsidRPr="004353E5">
              <w:rPr>
                <w:rFonts w:asciiTheme="minorEastAsia" w:hAnsiTheme="minorEastAsia" w:hint="eastAsia"/>
                <w:sz w:val="24"/>
                <w:szCs w:val="24"/>
              </w:rPr>
              <w:t>产品</w:t>
            </w:r>
            <w:r w:rsidRPr="004353E5">
              <w:rPr>
                <w:rFonts w:asciiTheme="minorEastAsia" w:hAnsiTheme="minorEastAsia"/>
                <w:sz w:val="24"/>
                <w:szCs w:val="24"/>
              </w:rPr>
              <w:t>结构不断优化</w:t>
            </w:r>
            <w:r w:rsidR="002C6A95">
              <w:rPr>
                <w:rFonts w:asciiTheme="minorEastAsia" w:hAnsiTheme="minorEastAsia" w:hint="eastAsia"/>
                <w:sz w:val="24"/>
                <w:szCs w:val="24"/>
              </w:rPr>
              <w:t>，</w:t>
            </w:r>
            <w:r w:rsidRPr="003765A3">
              <w:rPr>
                <w:rFonts w:asciiTheme="minorEastAsia" w:hAnsiTheme="minorEastAsia" w:hint="eastAsia"/>
                <w:sz w:val="24"/>
                <w:szCs w:val="24"/>
              </w:rPr>
              <w:t>公司</w:t>
            </w:r>
            <w:r w:rsidRPr="003765A3">
              <w:rPr>
                <w:rFonts w:asciiTheme="minorEastAsia" w:hAnsiTheme="minorEastAsia"/>
                <w:sz w:val="24"/>
                <w:szCs w:val="24"/>
              </w:rPr>
              <w:t>1-8月份公司品种钢同比提升16.45%</w:t>
            </w:r>
            <w:r w:rsidRPr="003765A3">
              <w:rPr>
                <w:rFonts w:asciiTheme="minorEastAsia" w:hAnsiTheme="minorEastAsia" w:hint="eastAsia"/>
                <w:sz w:val="24"/>
                <w:szCs w:val="24"/>
              </w:rPr>
              <w:t>，战略产品同比提升</w:t>
            </w:r>
            <w:r w:rsidRPr="003765A3">
              <w:rPr>
                <w:rFonts w:asciiTheme="minorEastAsia" w:hAnsiTheme="minorEastAsia"/>
                <w:sz w:val="24"/>
                <w:szCs w:val="24"/>
              </w:rPr>
              <w:t>47.73</w:t>
            </w:r>
            <w:r w:rsidRPr="003765A3">
              <w:rPr>
                <w:rFonts w:asciiTheme="minorEastAsia" w:hAnsiTheme="minorEastAsia" w:hint="eastAsia"/>
                <w:sz w:val="24"/>
                <w:szCs w:val="24"/>
              </w:rPr>
              <w:t>%。</w:t>
            </w:r>
            <w:r w:rsidRPr="004353E5">
              <w:rPr>
                <w:rFonts w:asciiTheme="minorEastAsia" w:hAnsiTheme="minorEastAsia"/>
                <w:sz w:val="24"/>
                <w:szCs w:val="24"/>
              </w:rPr>
              <w:t xml:space="preserve"> </w:t>
            </w:r>
          </w:p>
          <w:p w:rsidR="00B84298" w:rsidRDefault="000907DB" w:rsidP="003765A3">
            <w:pPr>
              <w:pStyle w:val="a8"/>
              <w:spacing w:line="520" w:lineRule="exact"/>
              <w:ind w:left="0" w:firstLineChars="200" w:firstLine="482"/>
              <w:rPr>
                <w:rFonts w:asciiTheme="minorEastAsia" w:eastAsiaTheme="minorEastAsia" w:hAnsiTheme="minorEastAsia" w:cstheme="minorBidi"/>
                <w:b/>
                <w:sz w:val="24"/>
                <w:szCs w:val="24"/>
              </w:rPr>
            </w:pPr>
            <w:r>
              <w:rPr>
                <w:rFonts w:asciiTheme="minorEastAsia" w:eastAsiaTheme="minorEastAsia" w:hAnsiTheme="minorEastAsia" w:cstheme="minorBidi"/>
                <w:b/>
                <w:sz w:val="24"/>
                <w:szCs w:val="24"/>
              </w:rPr>
              <w:t>8</w:t>
            </w:r>
            <w:r w:rsidR="0058194C" w:rsidRPr="0058194C">
              <w:rPr>
                <w:rFonts w:asciiTheme="minorEastAsia" w:eastAsiaTheme="minorEastAsia" w:hAnsiTheme="minorEastAsia" w:cstheme="minorBidi"/>
                <w:b/>
                <w:sz w:val="24"/>
                <w:szCs w:val="24"/>
              </w:rPr>
              <w:t>.</w:t>
            </w:r>
            <w:r w:rsidR="00B84298" w:rsidRPr="0058194C">
              <w:rPr>
                <w:rFonts w:asciiTheme="minorEastAsia" w:eastAsiaTheme="minorEastAsia" w:hAnsiTheme="minorEastAsia" w:cstheme="minorBidi" w:hint="eastAsia"/>
                <w:b/>
                <w:sz w:val="24"/>
                <w:szCs w:val="24"/>
              </w:rPr>
              <w:t>公司如何看待稀土</w:t>
            </w:r>
            <w:r w:rsidR="00BA75B2">
              <w:rPr>
                <w:rFonts w:asciiTheme="minorEastAsia" w:eastAsiaTheme="minorEastAsia" w:hAnsiTheme="minorEastAsia" w:cstheme="minorBidi" w:hint="eastAsia"/>
                <w:b/>
                <w:sz w:val="24"/>
                <w:szCs w:val="24"/>
              </w:rPr>
              <w:t>行业</w:t>
            </w:r>
            <w:r w:rsidR="0058194C" w:rsidRPr="0058194C">
              <w:rPr>
                <w:rFonts w:asciiTheme="minorEastAsia" w:eastAsiaTheme="minorEastAsia" w:hAnsiTheme="minorEastAsia" w:cstheme="minorBidi"/>
                <w:b/>
                <w:sz w:val="24"/>
                <w:szCs w:val="24"/>
              </w:rPr>
              <w:t xml:space="preserve"> </w:t>
            </w:r>
          </w:p>
          <w:p w:rsidR="003765A3" w:rsidRPr="003765A3" w:rsidRDefault="003765A3" w:rsidP="003765A3">
            <w:pPr>
              <w:spacing w:line="500" w:lineRule="exact"/>
              <w:ind w:firstLineChars="200" w:firstLine="480"/>
              <w:rPr>
                <w:rFonts w:asciiTheme="minorEastAsia" w:hAnsiTheme="minorEastAsia"/>
                <w:sz w:val="24"/>
                <w:szCs w:val="24"/>
              </w:rPr>
            </w:pPr>
            <w:r w:rsidRPr="003765A3">
              <w:rPr>
                <w:rFonts w:asciiTheme="minorEastAsia" w:hAnsiTheme="minorEastAsia"/>
                <w:sz w:val="24"/>
                <w:szCs w:val="24"/>
              </w:rPr>
              <w:t>我国是全球唯一具备稀土全产业链产品生产能力的国家稀土作为国家重要的战略资源，战略价值和重要意义越来越凸显。</w:t>
            </w:r>
            <w:r w:rsidRPr="003765A3">
              <w:rPr>
                <w:rFonts w:asciiTheme="minorEastAsia" w:hAnsiTheme="minorEastAsia" w:hint="eastAsia"/>
                <w:sz w:val="24"/>
                <w:szCs w:val="24"/>
              </w:rPr>
              <w:t>据USGS统计，中国稀土资源储量和产量连续多年占比世界第一。在绿色低碳及“万物电驱”的发展背景下，磁材需求量增幅在1</w:t>
            </w:r>
            <w:r w:rsidRPr="003765A3">
              <w:rPr>
                <w:rFonts w:asciiTheme="minorEastAsia" w:hAnsiTheme="minorEastAsia"/>
                <w:sz w:val="24"/>
                <w:szCs w:val="24"/>
              </w:rPr>
              <w:t>0</w:t>
            </w:r>
            <w:r w:rsidRPr="003765A3">
              <w:rPr>
                <w:rFonts w:asciiTheme="minorEastAsia" w:hAnsiTheme="minorEastAsia" w:hint="eastAsia"/>
                <w:sz w:val="24"/>
                <w:szCs w:val="24"/>
              </w:rPr>
              <w:t>%左右，预计2</w:t>
            </w:r>
            <w:r w:rsidRPr="003765A3">
              <w:rPr>
                <w:rFonts w:asciiTheme="minorEastAsia" w:hAnsiTheme="minorEastAsia"/>
                <w:sz w:val="24"/>
                <w:szCs w:val="24"/>
              </w:rPr>
              <w:t>025</w:t>
            </w:r>
            <w:r w:rsidRPr="003765A3">
              <w:rPr>
                <w:rFonts w:asciiTheme="minorEastAsia" w:hAnsiTheme="minorEastAsia" w:hint="eastAsia"/>
                <w:sz w:val="24"/>
                <w:szCs w:val="24"/>
              </w:rPr>
              <w:t>年将保持这一趋势。</w:t>
            </w:r>
            <w:r w:rsidRPr="003765A3">
              <w:rPr>
                <w:rFonts w:asciiTheme="minorEastAsia" w:hAnsiTheme="minorEastAsia"/>
                <w:sz w:val="24"/>
                <w:szCs w:val="24"/>
              </w:rPr>
              <w:t>新能源、新材料等领域将持续高速发展，风力电机、新能源汽车、</w:t>
            </w:r>
            <w:r w:rsidRPr="003765A3">
              <w:rPr>
                <w:rFonts w:asciiTheme="minorEastAsia" w:hAnsiTheme="minorEastAsia" w:hint="eastAsia"/>
                <w:sz w:val="24"/>
                <w:szCs w:val="24"/>
              </w:rPr>
              <w:t>节能家居、消费电子、变频空调、风电</w:t>
            </w:r>
            <w:r w:rsidRPr="003765A3">
              <w:rPr>
                <w:rFonts w:asciiTheme="minorEastAsia" w:hAnsiTheme="minorEastAsia"/>
                <w:sz w:val="24"/>
                <w:szCs w:val="24"/>
              </w:rPr>
              <w:t>等产业将持续增长，</w:t>
            </w:r>
            <w:r w:rsidRPr="003765A3">
              <w:rPr>
                <w:rFonts w:asciiTheme="minorEastAsia" w:hAnsiTheme="minorEastAsia" w:hint="eastAsia"/>
                <w:sz w:val="24"/>
                <w:szCs w:val="24"/>
              </w:rPr>
              <w:t>机器人、低空经济和工业电机等新兴领域有望打开远期需求成长空间，</w:t>
            </w:r>
            <w:r w:rsidRPr="003765A3">
              <w:rPr>
                <w:rFonts w:asciiTheme="minorEastAsia" w:hAnsiTheme="minorEastAsia"/>
                <w:sz w:val="24"/>
                <w:szCs w:val="24"/>
              </w:rPr>
              <w:t>这也将带动稀土产业保持高速发展</w:t>
            </w:r>
            <w:r>
              <w:rPr>
                <w:rFonts w:asciiTheme="minorEastAsia" w:hAnsiTheme="minorEastAsia" w:hint="eastAsia"/>
                <w:sz w:val="24"/>
                <w:szCs w:val="24"/>
              </w:rPr>
              <w:t>。</w:t>
            </w:r>
          </w:p>
          <w:p w:rsidR="00B84298" w:rsidRPr="0058194C" w:rsidRDefault="000907DB" w:rsidP="004353E5">
            <w:pPr>
              <w:pStyle w:val="a8"/>
              <w:spacing w:line="520" w:lineRule="exact"/>
              <w:ind w:left="0" w:firstLineChars="200" w:firstLine="482"/>
              <w:rPr>
                <w:rFonts w:asciiTheme="minorEastAsia" w:eastAsiaTheme="minorEastAsia" w:hAnsiTheme="minorEastAsia" w:cstheme="minorBidi"/>
                <w:b/>
                <w:sz w:val="24"/>
                <w:szCs w:val="24"/>
              </w:rPr>
            </w:pPr>
            <w:r>
              <w:rPr>
                <w:rFonts w:asciiTheme="minorEastAsia" w:eastAsiaTheme="minorEastAsia" w:hAnsiTheme="minorEastAsia" w:cstheme="minorBidi"/>
                <w:b/>
                <w:sz w:val="24"/>
                <w:szCs w:val="24"/>
              </w:rPr>
              <w:t>9</w:t>
            </w:r>
            <w:r w:rsidR="0058194C" w:rsidRPr="0058194C">
              <w:rPr>
                <w:rFonts w:asciiTheme="minorEastAsia" w:eastAsiaTheme="minorEastAsia" w:hAnsiTheme="minorEastAsia" w:cstheme="minorBidi"/>
                <w:b/>
                <w:sz w:val="24"/>
                <w:szCs w:val="24"/>
              </w:rPr>
              <w:t>.</w:t>
            </w:r>
            <w:r w:rsidR="00B84298" w:rsidRPr="0058194C">
              <w:rPr>
                <w:rFonts w:asciiTheme="minorEastAsia" w:eastAsiaTheme="minorEastAsia" w:hAnsiTheme="minorEastAsia" w:cstheme="minorBidi" w:hint="eastAsia"/>
                <w:b/>
                <w:sz w:val="24"/>
                <w:szCs w:val="24"/>
              </w:rPr>
              <w:t>目前是否存在稀土矿盗采情况？公司如何预防稀土矿盗采行为？</w:t>
            </w:r>
            <w:r w:rsidR="004353E5" w:rsidRPr="0058194C">
              <w:rPr>
                <w:rFonts w:asciiTheme="minorEastAsia" w:eastAsiaTheme="minorEastAsia" w:hAnsiTheme="minorEastAsia" w:cstheme="minorBidi"/>
                <w:b/>
                <w:sz w:val="24"/>
                <w:szCs w:val="24"/>
              </w:rPr>
              <w:t xml:space="preserve"> </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无稀土矿盗采情况。公司从人防、物防、技防、制防“四个角度”入手，通过建立围网、组建巡护队加强巡逻、安装监控摄像头、建立低空无人机防御系统、制定治安管理考核办法和相关规定，定期组织检查落实等措施，全方位抓好治安防范工作，贯彻落实“预防为主，管理从严，消除隐患，确保安全”的方针和坚持“谁主管、谁负责”的原则，抓好厂内的治安防范工作，开展经常性、长期性的治安安全大检查，消除不安全隐患，全面保障资源安全。</w:t>
            </w:r>
          </w:p>
          <w:p w:rsidR="00B84298" w:rsidRPr="0058194C" w:rsidRDefault="000907DB" w:rsidP="004353E5">
            <w:pPr>
              <w:spacing w:line="520" w:lineRule="exact"/>
              <w:ind w:firstLineChars="200" w:firstLine="482"/>
              <w:rPr>
                <w:rFonts w:asciiTheme="minorEastAsia" w:hAnsiTheme="minorEastAsia"/>
                <w:b/>
                <w:sz w:val="24"/>
                <w:szCs w:val="24"/>
              </w:rPr>
            </w:pPr>
            <w:r>
              <w:rPr>
                <w:rFonts w:asciiTheme="minorEastAsia" w:hAnsiTheme="minorEastAsia"/>
                <w:b/>
                <w:sz w:val="24"/>
                <w:szCs w:val="24"/>
              </w:rPr>
              <w:t>10</w:t>
            </w:r>
            <w:r w:rsidR="0058194C" w:rsidRPr="0058194C">
              <w:rPr>
                <w:rFonts w:asciiTheme="minorEastAsia" w:hAnsiTheme="minorEastAsia"/>
                <w:b/>
                <w:sz w:val="24"/>
                <w:szCs w:val="24"/>
              </w:rPr>
              <w:t>.</w:t>
            </w:r>
            <w:r w:rsidR="00B84298" w:rsidRPr="0058194C">
              <w:rPr>
                <w:rFonts w:asciiTheme="minorEastAsia" w:hAnsiTheme="minorEastAsia" w:hint="eastAsia"/>
                <w:b/>
                <w:sz w:val="24"/>
                <w:szCs w:val="24"/>
              </w:rPr>
              <w:t>公司自身有哪些降低成本的措施？</w:t>
            </w:r>
            <w:r w:rsidR="00B84298" w:rsidRPr="0058194C">
              <w:rPr>
                <w:rFonts w:asciiTheme="minorEastAsia" w:hAnsiTheme="minorEastAsia"/>
                <w:b/>
                <w:sz w:val="24"/>
                <w:szCs w:val="24"/>
              </w:rPr>
              <w:t xml:space="preserve"> </w:t>
            </w:r>
          </w:p>
          <w:p w:rsidR="008F3E48" w:rsidRPr="008F3E48" w:rsidRDefault="008F3E48" w:rsidP="008F3E48">
            <w:pPr>
              <w:pStyle w:val="a8"/>
              <w:spacing w:line="520" w:lineRule="exact"/>
              <w:ind w:left="0" w:firstLineChars="200" w:firstLine="480"/>
              <w:rPr>
                <w:rFonts w:asciiTheme="minorEastAsia" w:eastAsiaTheme="minorEastAsia" w:hAnsiTheme="minorEastAsia" w:cstheme="minorBidi"/>
                <w:sz w:val="24"/>
                <w:szCs w:val="24"/>
              </w:rPr>
            </w:pPr>
            <w:r w:rsidRPr="003765A3">
              <w:rPr>
                <w:rFonts w:asciiTheme="minorEastAsia" w:eastAsiaTheme="minorEastAsia" w:hAnsiTheme="minorEastAsia" w:cstheme="minorBidi" w:hint="eastAsia"/>
                <w:sz w:val="24"/>
                <w:szCs w:val="24"/>
              </w:rPr>
              <w:lastRenderedPageBreak/>
              <w:t>采购方面积极调整采购策略，广泛开发适应公司生产工艺的新品种，开拓采购渠道，增加直供比例；优化整合供应商资源发挥集中采购的规模化、专业化优势，降低采购成本。</w:t>
            </w:r>
            <w:r w:rsidRPr="003765A3">
              <w:rPr>
                <w:rFonts w:asciiTheme="minorEastAsia" w:eastAsiaTheme="minorEastAsia" w:hAnsiTheme="minorEastAsia" w:cstheme="minorBidi" w:hint="eastAsia"/>
                <w:sz w:val="24"/>
                <w:szCs w:val="24"/>
              </w:rPr>
              <w:br/>
              <w:t xml:space="preserve"> </w:t>
            </w:r>
            <w:r w:rsidRPr="003765A3">
              <w:rPr>
                <w:rFonts w:asciiTheme="minorEastAsia" w:eastAsiaTheme="minorEastAsia" w:hAnsiTheme="minorEastAsia" w:cstheme="minorBidi"/>
                <w:sz w:val="24"/>
                <w:szCs w:val="24"/>
              </w:rPr>
              <w:t xml:space="preserve">   </w:t>
            </w:r>
            <w:r w:rsidRPr="003765A3">
              <w:rPr>
                <w:rFonts w:asciiTheme="minorEastAsia" w:eastAsiaTheme="minorEastAsia" w:hAnsiTheme="minorEastAsia" w:cstheme="minorBidi" w:hint="eastAsia"/>
                <w:sz w:val="24"/>
                <w:szCs w:val="24"/>
              </w:rPr>
              <w:t>生产经营方面持续推进深度降本增效。炼铁系统深化内部对标，优化高炉参数，实现高炉顺行，不断提升各项经济技术指标水平；结合采购端新品种的开发，优化配煤配矿结构，降低铁水成本。钢轧系统推进研产销协同联动，提升产线效率，积极组织创高产；同时，坚持目标导向，以市场为引领，以效益为中心，以吨材毛利为核心，优化订单品种排产，持续推进品种结构优化，实现边际效益最大化，提升企业盈利创效能力，达到增效目标。</w:t>
            </w:r>
          </w:p>
          <w:p w:rsidR="00B84298" w:rsidRPr="0058194C" w:rsidRDefault="000907DB" w:rsidP="004353E5">
            <w:pPr>
              <w:pStyle w:val="a8"/>
              <w:spacing w:line="520" w:lineRule="exact"/>
              <w:rPr>
                <w:rFonts w:asciiTheme="minorEastAsia" w:eastAsiaTheme="minorEastAsia" w:hAnsiTheme="minorEastAsia" w:cstheme="minorBidi"/>
                <w:b/>
                <w:sz w:val="24"/>
                <w:szCs w:val="24"/>
              </w:rPr>
            </w:pPr>
            <w:r>
              <w:rPr>
                <w:rFonts w:asciiTheme="minorEastAsia" w:eastAsiaTheme="minorEastAsia" w:hAnsiTheme="minorEastAsia" w:cstheme="minorBidi"/>
                <w:b/>
                <w:sz w:val="24"/>
                <w:szCs w:val="24"/>
              </w:rPr>
              <w:t>11</w:t>
            </w:r>
            <w:r w:rsidR="0058194C" w:rsidRPr="0058194C">
              <w:rPr>
                <w:rFonts w:asciiTheme="minorEastAsia" w:eastAsiaTheme="minorEastAsia" w:hAnsiTheme="minorEastAsia" w:cstheme="minorBidi"/>
                <w:b/>
                <w:sz w:val="24"/>
                <w:szCs w:val="24"/>
              </w:rPr>
              <w:t>.</w:t>
            </w:r>
            <w:r w:rsidR="00B84298" w:rsidRPr="0058194C">
              <w:rPr>
                <w:rFonts w:asciiTheme="minorEastAsia" w:eastAsiaTheme="minorEastAsia" w:hAnsiTheme="minorEastAsia" w:cstheme="minorBidi" w:hint="eastAsia"/>
                <w:b/>
                <w:sz w:val="24"/>
                <w:szCs w:val="24"/>
              </w:rPr>
              <w:t>钢铁行业的未来看法</w:t>
            </w:r>
            <w:r w:rsidR="0058194C" w:rsidRPr="0058194C">
              <w:rPr>
                <w:rFonts w:asciiTheme="minorEastAsia" w:eastAsiaTheme="minorEastAsia" w:hAnsiTheme="minorEastAsia" w:cstheme="minorBidi" w:hint="eastAsia"/>
                <w:b/>
                <w:sz w:val="24"/>
                <w:szCs w:val="24"/>
              </w:rPr>
              <w:t>?</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中国钢铁行业已经从“增量发展”阶段进入到“存量优化”阶段，国内市场需求减量趋势较为明显。钢厂之间的竞争从“数量、规模”转向“技术、生态”，客户对产品要求日益呈现品种、规格多样化特征。</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包钢作为西北地区重要钢铁生产基地，生产产品品种、规格、种类较为齐全，产品生产、销售、服务完全实现联动。能够适应目前市场发展趋势。</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同时，钢铁行业通过超低排放、极致能效、数字化转型与绿色创新，正在摆脱传统被划分为周期性行业的身份标签，逐步融入智能制造产业体系之中。</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包钢通过与国内国际各类钢厂、研究机构与终端用户交流互动，不断提升生产与服务能力，积极响应国家“反内卷”号召，减少并严格控制效益较低、市场“内卷”严重的普通钢材生产，同时，加大对新型电力设施、储能设备、汽车、家电、机械、海洋工程、航空航天设施以及新型建筑用钢研发、生产与销售力度。部分以重轨、无缝钢管为代表的长</w:t>
            </w:r>
            <w:r w:rsidR="00C37C58">
              <w:rPr>
                <w:rFonts w:asciiTheme="minorEastAsia" w:hAnsiTheme="minorEastAsia" w:hint="eastAsia"/>
                <w:sz w:val="24"/>
                <w:szCs w:val="24"/>
              </w:rPr>
              <w:t>型</w:t>
            </w:r>
            <w:r w:rsidRPr="004353E5">
              <w:rPr>
                <w:rFonts w:asciiTheme="minorEastAsia" w:hAnsiTheme="minorEastAsia" w:hint="eastAsia"/>
                <w:sz w:val="24"/>
                <w:szCs w:val="24"/>
              </w:rPr>
              <w:t>材、管材产品与以风电、汽车、家电钢</w:t>
            </w:r>
            <w:r w:rsidRPr="004353E5">
              <w:rPr>
                <w:rFonts w:asciiTheme="minorEastAsia" w:hAnsiTheme="minorEastAsia" w:hint="eastAsia"/>
                <w:sz w:val="24"/>
                <w:szCs w:val="24"/>
              </w:rPr>
              <w:lastRenderedPageBreak/>
              <w:t>为代表的板材产品已经接近或达到世界先进水平。在不断“减量”的市场环境中保持技术与服务优势。</w:t>
            </w:r>
          </w:p>
          <w:p w:rsidR="00B84298" w:rsidRPr="004353E5" w:rsidRDefault="000907DB" w:rsidP="004353E5">
            <w:pPr>
              <w:widowControl/>
              <w:spacing w:line="520" w:lineRule="exact"/>
              <w:ind w:firstLineChars="200" w:firstLine="482"/>
              <w:rPr>
                <w:rFonts w:asciiTheme="minorEastAsia" w:hAnsiTheme="minorEastAsia"/>
                <w:sz w:val="24"/>
                <w:szCs w:val="24"/>
              </w:rPr>
            </w:pPr>
            <w:r>
              <w:rPr>
                <w:rFonts w:asciiTheme="minorEastAsia" w:hAnsiTheme="minorEastAsia"/>
                <w:b/>
                <w:sz w:val="24"/>
                <w:szCs w:val="24"/>
              </w:rPr>
              <w:t>12</w:t>
            </w:r>
            <w:r w:rsidR="0058194C" w:rsidRPr="0058194C">
              <w:rPr>
                <w:rFonts w:asciiTheme="minorEastAsia" w:hAnsiTheme="minorEastAsia"/>
                <w:b/>
                <w:sz w:val="24"/>
                <w:szCs w:val="24"/>
              </w:rPr>
              <w:t>.</w:t>
            </w:r>
            <w:r w:rsidR="00B84298" w:rsidRPr="0058194C">
              <w:rPr>
                <w:rFonts w:asciiTheme="minorEastAsia" w:hAnsiTheme="minorEastAsia" w:hint="eastAsia"/>
                <w:b/>
                <w:sz w:val="24"/>
                <w:szCs w:val="24"/>
              </w:rPr>
              <w:t>公司对未来钢铁的价格及市场如何展望？</w:t>
            </w:r>
            <w:r w:rsidR="0058194C" w:rsidRPr="004353E5">
              <w:rPr>
                <w:rFonts w:asciiTheme="minorEastAsia" w:hAnsiTheme="minorEastAsia"/>
                <w:sz w:val="24"/>
                <w:szCs w:val="24"/>
              </w:rPr>
              <w:t xml:space="preserve"> </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长材方面，在传统建筑与基建市场不断被压缩的同时，钢厂为保证利润也相应压减产量，受市场供需双弱影响，预计普通建筑用钢价格将持续保持低位。</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板材方面，由于制造行业发展相对较快，并逐步对冲房产行业下滑对钢铁需求造成的影响，板材市场价格表现将好于建材。</w:t>
            </w:r>
          </w:p>
          <w:p w:rsidR="00B84298" w:rsidRPr="004353E5" w:rsidRDefault="00B84298" w:rsidP="004353E5">
            <w:pPr>
              <w:spacing w:line="520" w:lineRule="exact"/>
              <w:ind w:firstLineChars="200" w:firstLine="480"/>
              <w:rPr>
                <w:rFonts w:asciiTheme="minorEastAsia" w:hAnsiTheme="minorEastAsia"/>
                <w:sz w:val="24"/>
                <w:szCs w:val="24"/>
              </w:rPr>
            </w:pPr>
            <w:r w:rsidRPr="004353E5">
              <w:rPr>
                <w:rFonts w:asciiTheme="minorEastAsia" w:hAnsiTheme="minorEastAsia" w:hint="eastAsia"/>
                <w:sz w:val="24"/>
                <w:szCs w:val="24"/>
              </w:rPr>
              <w:t>同时，由于部分特钢品种受产品标准要求较高、市场需求量相对较少影响，价格有望逆势上涨。</w:t>
            </w:r>
          </w:p>
          <w:tbl>
            <w:tblPr>
              <w:tblW w:w="6922" w:type="dxa"/>
              <w:tblLook w:val="04A0" w:firstRow="1" w:lastRow="0" w:firstColumn="1" w:lastColumn="0" w:noHBand="0" w:noVBand="1"/>
            </w:tblPr>
            <w:tblGrid>
              <w:gridCol w:w="6922"/>
            </w:tblGrid>
            <w:tr w:rsidR="00B84298" w:rsidRPr="004353E5" w:rsidTr="00771C4A">
              <w:trPr>
                <w:trHeight w:val="312"/>
              </w:trPr>
              <w:tc>
                <w:tcPr>
                  <w:tcW w:w="6922" w:type="dxa"/>
                  <w:tcBorders>
                    <w:top w:val="nil"/>
                    <w:left w:val="nil"/>
                    <w:bottom w:val="nil"/>
                    <w:right w:val="nil"/>
                  </w:tcBorders>
                  <w:vAlign w:val="center"/>
                </w:tcPr>
                <w:p w:rsidR="00B84298" w:rsidRPr="004353E5" w:rsidRDefault="00B84298" w:rsidP="0058194C">
                  <w:pPr>
                    <w:widowControl/>
                    <w:spacing w:line="520" w:lineRule="exact"/>
                    <w:ind w:firstLineChars="150" w:firstLine="360"/>
                    <w:jc w:val="left"/>
                    <w:rPr>
                      <w:rFonts w:asciiTheme="minorEastAsia" w:hAnsiTheme="minorEastAsia"/>
                      <w:sz w:val="24"/>
                      <w:szCs w:val="24"/>
                    </w:rPr>
                  </w:pPr>
                  <w:r w:rsidRPr="004353E5">
                    <w:rPr>
                      <w:rFonts w:asciiTheme="minorEastAsia" w:hAnsiTheme="minorEastAsia" w:hint="eastAsia"/>
                      <w:sz w:val="24"/>
                      <w:szCs w:val="24"/>
                    </w:rPr>
                    <w:t>总体来看，在“反内卷”政策密集释放推动下，钢价剧烈波动可能性不大，未来或整体呈现稳中向好态势。</w:t>
                  </w:r>
                </w:p>
              </w:tc>
            </w:tr>
          </w:tbl>
          <w:p w:rsidR="00B84298" w:rsidRPr="0058194C" w:rsidRDefault="00B84298" w:rsidP="0058194C">
            <w:pPr>
              <w:pStyle w:val="a8"/>
              <w:spacing w:line="360" w:lineRule="auto"/>
              <w:ind w:left="360"/>
              <w:rPr>
                <w:rFonts w:ascii="宋体" w:eastAsia="宋体" w:hAnsi="宋体" w:hint="eastAsia"/>
                <w:sz w:val="24"/>
                <w:szCs w:val="24"/>
              </w:rPr>
            </w:pPr>
          </w:p>
        </w:tc>
      </w:tr>
      <w:tr w:rsidR="00E34832" w:rsidTr="00404F64">
        <w:trPr>
          <w:jc w:val="center"/>
        </w:trPr>
        <w:tc>
          <w:tcPr>
            <w:tcW w:w="2490" w:type="dxa"/>
          </w:tcPr>
          <w:p w:rsidR="00E34832" w:rsidRPr="00F64215" w:rsidRDefault="00E34832" w:rsidP="008E1A7C">
            <w:pPr>
              <w:spacing w:line="420" w:lineRule="exact"/>
              <w:rPr>
                <w:rFonts w:asciiTheme="minorEastAsia" w:hAnsiTheme="minorEastAsia"/>
                <w:b/>
                <w:sz w:val="24"/>
                <w:szCs w:val="24"/>
              </w:rPr>
            </w:pPr>
            <w:r w:rsidRPr="00F64215">
              <w:rPr>
                <w:rFonts w:asciiTheme="minorEastAsia" w:hAnsiTheme="minorEastAsia" w:hint="eastAsia"/>
                <w:b/>
                <w:sz w:val="24"/>
                <w:szCs w:val="24"/>
              </w:rPr>
              <w:lastRenderedPageBreak/>
              <w:t>附件清单（如有）</w:t>
            </w:r>
          </w:p>
        </w:tc>
        <w:tc>
          <w:tcPr>
            <w:tcW w:w="6577" w:type="dxa"/>
          </w:tcPr>
          <w:p w:rsidR="00E34832" w:rsidRPr="00990A9D" w:rsidRDefault="00F64215" w:rsidP="008E1A7C">
            <w:pPr>
              <w:spacing w:line="420" w:lineRule="exact"/>
              <w:rPr>
                <w:rFonts w:asciiTheme="minorEastAsia" w:hAnsiTheme="minorEastAsia"/>
                <w:sz w:val="24"/>
                <w:szCs w:val="24"/>
              </w:rPr>
            </w:pPr>
            <w:r>
              <w:rPr>
                <w:rFonts w:asciiTheme="minorEastAsia" w:hAnsiTheme="minorEastAsia" w:hint="eastAsia"/>
                <w:sz w:val="24"/>
                <w:szCs w:val="24"/>
              </w:rPr>
              <w:t>无</w:t>
            </w:r>
          </w:p>
        </w:tc>
      </w:tr>
    </w:tbl>
    <w:p w:rsidR="001E752C" w:rsidRDefault="001E752C" w:rsidP="00AE0ECC"/>
    <w:sectPr w:rsidR="001E752C" w:rsidSect="00404F64">
      <w:pgSz w:w="11906" w:h="16838"/>
      <w:pgMar w:top="1474" w:right="1588" w:bottom="1134"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EF8" w:rsidRDefault="00053EF8" w:rsidP="002E43DC">
      <w:r>
        <w:separator/>
      </w:r>
    </w:p>
  </w:endnote>
  <w:endnote w:type="continuationSeparator" w:id="0">
    <w:p w:rsidR="00053EF8" w:rsidRDefault="00053EF8" w:rsidP="002E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EF8" w:rsidRDefault="00053EF8" w:rsidP="002E43DC">
      <w:r>
        <w:separator/>
      </w:r>
    </w:p>
  </w:footnote>
  <w:footnote w:type="continuationSeparator" w:id="0">
    <w:p w:rsidR="00053EF8" w:rsidRDefault="00053EF8" w:rsidP="002E4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6D00"/>
    <w:multiLevelType w:val="hybridMultilevel"/>
    <w:tmpl w:val="E298728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267E78A2"/>
    <w:multiLevelType w:val="hybridMultilevel"/>
    <w:tmpl w:val="7A3EFD98"/>
    <w:lvl w:ilvl="0" w:tplc="5706D260">
      <w:start w:val="1"/>
      <w:numFmt w:val="bullet"/>
      <w:lvlText w:val=""/>
      <w:lvlJc w:val="left"/>
      <w:pPr>
        <w:tabs>
          <w:tab w:val="num" w:pos="720"/>
        </w:tabs>
        <w:ind w:left="720" w:hanging="360"/>
      </w:pPr>
      <w:rPr>
        <w:rFonts w:ascii="Wingdings" w:hAnsi="Wingdings" w:hint="default"/>
      </w:rPr>
    </w:lvl>
    <w:lvl w:ilvl="1" w:tplc="6314777E">
      <w:start w:val="1"/>
      <w:numFmt w:val="bullet"/>
      <w:lvlText w:val=""/>
      <w:lvlJc w:val="left"/>
      <w:pPr>
        <w:tabs>
          <w:tab w:val="num" w:pos="1440"/>
        </w:tabs>
        <w:ind w:left="1440" w:hanging="360"/>
      </w:pPr>
      <w:rPr>
        <w:rFonts w:ascii="Wingdings" w:hAnsi="Wingdings" w:hint="default"/>
      </w:rPr>
    </w:lvl>
    <w:lvl w:ilvl="2" w:tplc="BE7ABF96" w:tentative="1">
      <w:start w:val="1"/>
      <w:numFmt w:val="bullet"/>
      <w:lvlText w:val=""/>
      <w:lvlJc w:val="left"/>
      <w:pPr>
        <w:tabs>
          <w:tab w:val="num" w:pos="2160"/>
        </w:tabs>
        <w:ind w:left="2160" w:hanging="360"/>
      </w:pPr>
      <w:rPr>
        <w:rFonts w:ascii="Wingdings" w:hAnsi="Wingdings" w:hint="default"/>
      </w:rPr>
    </w:lvl>
    <w:lvl w:ilvl="3" w:tplc="887474F6" w:tentative="1">
      <w:start w:val="1"/>
      <w:numFmt w:val="bullet"/>
      <w:lvlText w:val=""/>
      <w:lvlJc w:val="left"/>
      <w:pPr>
        <w:tabs>
          <w:tab w:val="num" w:pos="2880"/>
        </w:tabs>
        <w:ind w:left="2880" w:hanging="360"/>
      </w:pPr>
      <w:rPr>
        <w:rFonts w:ascii="Wingdings" w:hAnsi="Wingdings" w:hint="default"/>
      </w:rPr>
    </w:lvl>
    <w:lvl w:ilvl="4" w:tplc="6B30AC84" w:tentative="1">
      <w:start w:val="1"/>
      <w:numFmt w:val="bullet"/>
      <w:lvlText w:val=""/>
      <w:lvlJc w:val="left"/>
      <w:pPr>
        <w:tabs>
          <w:tab w:val="num" w:pos="3600"/>
        </w:tabs>
        <w:ind w:left="3600" w:hanging="360"/>
      </w:pPr>
      <w:rPr>
        <w:rFonts w:ascii="Wingdings" w:hAnsi="Wingdings" w:hint="default"/>
      </w:rPr>
    </w:lvl>
    <w:lvl w:ilvl="5" w:tplc="CECE4DDC" w:tentative="1">
      <w:start w:val="1"/>
      <w:numFmt w:val="bullet"/>
      <w:lvlText w:val=""/>
      <w:lvlJc w:val="left"/>
      <w:pPr>
        <w:tabs>
          <w:tab w:val="num" w:pos="4320"/>
        </w:tabs>
        <w:ind w:left="4320" w:hanging="360"/>
      </w:pPr>
      <w:rPr>
        <w:rFonts w:ascii="Wingdings" w:hAnsi="Wingdings" w:hint="default"/>
      </w:rPr>
    </w:lvl>
    <w:lvl w:ilvl="6" w:tplc="46E2D614" w:tentative="1">
      <w:start w:val="1"/>
      <w:numFmt w:val="bullet"/>
      <w:lvlText w:val=""/>
      <w:lvlJc w:val="left"/>
      <w:pPr>
        <w:tabs>
          <w:tab w:val="num" w:pos="5040"/>
        </w:tabs>
        <w:ind w:left="5040" w:hanging="360"/>
      </w:pPr>
      <w:rPr>
        <w:rFonts w:ascii="Wingdings" w:hAnsi="Wingdings" w:hint="default"/>
      </w:rPr>
    </w:lvl>
    <w:lvl w:ilvl="7" w:tplc="65D40C2E" w:tentative="1">
      <w:start w:val="1"/>
      <w:numFmt w:val="bullet"/>
      <w:lvlText w:val=""/>
      <w:lvlJc w:val="left"/>
      <w:pPr>
        <w:tabs>
          <w:tab w:val="num" w:pos="5760"/>
        </w:tabs>
        <w:ind w:left="5760" w:hanging="360"/>
      </w:pPr>
      <w:rPr>
        <w:rFonts w:ascii="Wingdings" w:hAnsi="Wingdings" w:hint="default"/>
      </w:rPr>
    </w:lvl>
    <w:lvl w:ilvl="8" w:tplc="C5107AB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32"/>
    <w:rsid w:val="00003E41"/>
    <w:rsid w:val="00026C40"/>
    <w:rsid w:val="00053EF8"/>
    <w:rsid w:val="0005464A"/>
    <w:rsid w:val="000907DB"/>
    <w:rsid w:val="000A60E7"/>
    <w:rsid w:val="001026F0"/>
    <w:rsid w:val="0012571E"/>
    <w:rsid w:val="00155E6A"/>
    <w:rsid w:val="00157A99"/>
    <w:rsid w:val="00165ED6"/>
    <w:rsid w:val="001B208B"/>
    <w:rsid w:val="001B725F"/>
    <w:rsid w:val="001C73BC"/>
    <w:rsid w:val="001E752C"/>
    <w:rsid w:val="00201944"/>
    <w:rsid w:val="00205FBC"/>
    <w:rsid w:val="00217959"/>
    <w:rsid w:val="0022744F"/>
    <w:rsid w:val="00245099"/>
    <w:rsid w:val="002669FA"/>
    <w:rsid w:val="002A2F72"/>
    <w:rsid w:val="002C2A40"/>
    <w:rsid w:val="002C55F2"/>
    <w:rsid w:val="002C6A95"/>
    <w:rsid w:val="002E43DC"/>
    <w:rsid w:val="003102CA"/>
    <w:rsid w:val="00340D77"/>
    <w:rsid w:val="00351911"/>
    <w:rsid w:val="00361B65"/>
    <w:rsid w:val="0037449A"/>
    <w:rsid w:val="003765A3"/>
    <w:rsid w:val="00390685"/>
    <w:rsid w:val="003E598A"/>
    <w:rsid w:val="003E60F0"/>
    <w:rsid w:val="00404F64"/>
    <w:rsid w:val="00426641"/>
    <w:rsid w:val="004353E5"/>
    <w:rsid w:val="0045349D"/>
    <w:rsid w:val="00474E8A"/>
    <w:rsid w:val="00492F82"/>
    <w:rsid w:val="004E56CA"/>
    <w:rsid w:val="00501523"/>
    <w:rsid w:val="00531F22"/>
    <w:rsid w:val="005449B0"/>
    <w:rsid w:val="00554E7A"/>
    <w:rsid w:val="00564907"/>
    <w:rsid w:val="00566E5B"/>
    <w:rsid w:val="0057457A"/>
    <w:rsid w:val="0058194C"/>
    <w:rsid w:val="005A6869"/>
    <w:rsid w:val="005B3A3B"/>
    <w:rsid w:val="005F1A1B"/>
    <w:rsid w:val="006020C0"/>
    <w:rsid w:val="00603FAE"/>
    <w:rsid w:val="0061003C"/>
    <w:rsid w:val="0062755F"/>
    <w:rsid w:val="00636513"/>
    <w:rsid w:val="00656367"/>
    <w:rsid w:val="0068622D"/>
    <w:rsid w:val="00686E17"/>
    <w:rsid w:val="006920ED"/>
    <w:rsid w:val="006A17E8"/>
    <w:rsid w:val="006A4C99"/>
    <w:rsid w:val="006D3C41"/>
    <w:rsid w:val="006D679D"/>
    <w:rsid w:val="00713842"/>
    <w:rsid w:val="00722F8E"/>
    <w:rsid w:val="0073169D"/>
    <w:rsid w:val="00782348"/>
    <w:rsid w:val="00790967"/>
    <w:rsid w:val="007B11B9"/>
    <w:rsid w:val="007D52DA"/>
    <w:rsid w:val="007D669E"/>
    <w:rsid w:val="007E113B"/>
    <w:rsid w:val="007E2E6F"/>
    <w:rsid w:val="008637CD"/>
    <w:rsid w:val="00865DF0"/>
    <w:rsid w:val="008B3A09"/>
    <w:rsid w:val="008C17B4"/>
    <w:rsid w:val="008C7908"/>
    <w:rsid w:val="008D0F6D"/>
    <w:rsid w:val="008D1758"/>
    <w:rsid w:val="008E0F1E"/>
    <w:rsid w:val="008E1A7C"/>
    <w:rsid w:val="008F3E48"/>
    <w:rsid w:val="00925FD8"/>
    <w:rsid w:val="0094266E"/>
    <w:rsid w:val="009702FA"/>
    <w:rsid w:val="00990A9D"/>
    <w:rsid w:val="009F2061"/>
    <w:rsid w:val="00A166D3"/>
    <w:rsid w:val="00AC56EC"/>
    <w:rsid w:val="00AE0ECC"/>
    <w:rsid w:val="00AE4720"/>
    <w:rsid w:val="00AE4FF7"/>
    <w:rsid w:val="00AE5D63"/>
    <w:rsid w:val="00B01E76"/>
    <w:rsid w:val="00B1293C"/>
    <w:rsid w:val="00B27925"/>
    <w:rsid w:val="00B71AA8"/>
    <w:rsid w:val="00B84298"/>
    <w:rsid w:val="00B8697B"/>
    <w:rsid w:val="00B93134"/>
    <w:rsid w:val="00BA75B2"/>
    <w:rsid w:val="00BC474C"/>
    <w:rsid w:val="00C00B92"/>
    <w:rsid w:val="00C074C0"/>
    <w:rsid w:val="00C12558"/>
    <w:rsid w:val="00C163C8"/>
    <w:rsid w:val="00C24E46"/>
    <w:rsid w:val="00C32A45"/>
    <w:rsid w:val="00C34C00"/>
    <w:rsid w:val="00C37C58"/>
    <w:rsid w:val="00C40457"/>
    <w:rsid w:val="00C55CB8"/>
    <w:rsid w:val="00C56B8D"/>
    <w:rsid w:val="00CA0AA7"/>
    <w:rsid w:val="00CB7559"/>
    <w:rsid w:val="00CF7C6D"/>
    <w:rsid w:val="00D465A1"/>
    <w:rsid w:val="00D54C92"/>
    <w:rsid w:val="00D55B2A"/>
    <w:rsid w:val="00D9660D"/>
    <w:rsid w:val="00D97713"/>
    <w:rsid w:val="00DA5DFC"/>
    <w:rsid w:val="00DB2BC0"/>
    <w:rsid w:val="00DD2A3A"/>
    <w:rsid w:val="00DE1D30"/>
    <w:rsid w:val="00E00A37"/>
    <w:rsid w:val="00E02CA6"/>
    <w:rsid w:val="00E04E66"/>
    <w:rsid w:val="00E20842"/>
    <w:rsid w:val="00E22A0F"/>
    <w:rsid w:val="00E34832"/>
    <w:rsid w:val="00E777C9"/>
    <w:rsid w:val="00E83CCA"/>
    <w:rsid w:val="00F3613E"/>
    <w:rsid w:val="00F64215"/>
    <w:rsid w:val="00FA00FE"/>
    <w:rsid w:val="00FA2B86"/>
    <w:rsid w:val="00FA73FE"/>
    <w:rsid w:val="00FA7CF1"/>
    <w:rsid w:val="00FC437C"/>
    <w:rsid w:val="00FD0D2E"/>
    <w:rsid w:val="00FD32A4"/>
    <w:rsid w:val="00FE2136"/>
    <w:rsid w:val="00FF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288125-7C14-4D90-BFA1-44A4A840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E4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E43DC"/>
    <w:rPr>
      <w:sz w:val="18"/>
      <w:szCs w:val="18"/>
    </w:rPr>
  </w:style>
  <w:style w:type="paragraph" w:styleId="a5">
    <w:name w:val="footer"/>
    <w:basedOn w:val="a"/>
    <w:link w:val="Char0"/>
    <w:uiPriority w:val="99"/>
    <w:unhideWhenUsed/>
    <w:rsid w:val="002E43DC"/>
    <w:pPr>
      <w:tabs>
        <w:tab w:val="center" w:pos="4153"/>
        <w:tab w:val="right" w:pos="8306"/>
      </w:tabs>
      <w:snapToGrid w:val="0"/>
      <w:jc w:val="left"/>
    </w:pPr>
    <w:rPr>
      <w:sz w:val="18"/>
      <w:szCs w:val="18"/>
    </w:rPr>
  </w:style>
  <w:style w:type="character" w:customStyle="1" w:styleId="Char0">
    <w:name w:val="页脚 Char"/>
    <w:basedOn w:val="a0"/>
    <w:link w:val="a5"/>
    <w:uiPriority w:val="99"/>
    <w:rsid w:val="002E43DC"/>
    <w:rPr>
      <w:sz w:val="18"/>
      <w:szCs w:val="18"/>
    </w:rPr>
  </w:style>
  <w:style w:type="character" w:customStyle="1" w:styleId="font31">
    <w:name w:val="font31"/>
    <w:basedOn w:val="a0"/>
    <w:qFormat/>
    <w:rsid w:val="002E43DC"/>
    <w:rPr>
      <w:rFonts w:ascii="宋体" w:eastAsia="宋体" w:hAnsi="宋体" w:cs="宋体" w:hint="eastAsia"/>
      <w:color w:val="000000"/>
      <w:sz w:val="21"/>
      <w:szCs w:val="21"/>
      <w:u w:val="none"/>
    </w:rPr>
  </w:style>
  <w:style w:type="paragraph" w:customStyle="1" w:styleId="UserStyle0">
    <w:name w:val="UserStyle_0"/>
    <w:next w:val="a"/>
    <w:qFormat/>
    <w:rsid w:val="002E43DC"/>
    <w:pPr>
      <w:widowControl w:val="0"/>
      <w:ind w:firstLineChars="200" w:firstLine="420"/>
      <w:jc w:val="both"/>
      <w:textAlignment w:val="baseline"/>
    </w:pPr>
    <w:rPr>
      <w:rFonts w:ascii="Arial" w:eastAsia="Arial" w:hAnsi="Arial" w:cs="Arial"/>
      <w:szCs w:val="24"/>
    </w:rPr>
  </w:style>
  <w:style w:type="paragraph" w:styleId="a6">
    <w:name w:val="Balloon Text"/>
    <w:basedOn w:val="a"/>
    <w:link w:val="Char1"/>
    <w:uiPriority w:val="99"/>
    <w:semiHidden/>
    <w:unhideWhenUsed/>
    <w:rsid w:val="00AE4720"/>
    <w:rPr>
      <w:sz w:val="18"/>
      <w:szCs w:val="18"/>
    </w:rPr>
  </w:style>
  <w:style w:type="character" w:customStyle="1" w:styleId="Char1">
    <w:name w:val="批注框文本 Char"/>
    <w:basedOn w:val="a0"/>
    <w:link w:val="a6"/>
    <w:uiPriority w:val="99"/>
    <w:semiHidden/>
    <w:rsid w:val="00AE4720"/>
    <w:rPr>
      <w:sz w:val="18"/>
      <w:szCs w:val="18"/>
    </w:rPr>
  </w:style>
  <w:style w:type="paragraph" w:styleId="a7">
    <w:name w:val="List Paragraph"/>
    <w:basedOn w:val="a"/>
    <w:uiPriority w:val="34"/>
    <w:qFormat/>
    <w:rsid w:val="00E02CA6"/>
    <w:pPr>
      <w:spacing w:after="160" w:line="278" w:lineRule="auto"/>
      <w:ind w:left="720"/>
      <w:contextualSpacing/>
      <w:jc w:val="left"/>
    </w:pPr>
    <w:rPr>
      <w:sz w:val="22"/>
      <w:szCs w:val="24"/>
      <w14:ligatures w14:val="standardContextual"/>
    </w:rPr>
  </w:style>
  <w:style w:type="paragraph" w:customStyle="1" w:styleId="a8">
    <w:basedOn w:val="a"/>
    <w:next w:val="a7"/>
    <w:uiPriority w:val="34"/>
    <w:qFormat/>
    <w:rsid w:val="00B84298"/>
    <w:pPr>
      <w:ind w:left="720"/>
      <w:contextualSpacing/>
    </w:pPr>
    <w:rPr>
      <w:rFonts w:ascii="等线" w:eastAsia="等线" w:hAnsi="等线" w:cs="Times New Roman"/>
    </w:rPr>
  </w:style>
  <w:style w:type="paragraph" w:styleId="a9">
    <w:name w:val="Normal (Web)"/>
    <w:basedOn w:val="a"/>
    <w:uiPriority w:val="99"/>
    <w:semiHidden/>
    <w:unhideWhenUsed/>
    <w:rsid w:val="00DB2B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2411">
      <w:bodyDiv w:val="1"/>
      <w:marLeft w:val="0"/>
      <w:marRight w:val="0"/>
      <w:marTop w:val="0"/>
      <w:marBottom w:val="0"/>
      <w:divBdr>
        <w:top w:val="none" w:sz="0" w:space="0" w:color="auto"/>
        <w:left w:val="none" w:sz="0" w:space="0" w:color="auto"/>
        <w:bottom w:val="none" w:sz="0" w:space="0" w:color="auto"/>
        <w:right w:val="none" w:sz="0" w:space="0" w:color="auto"/>
      </w:divBdr>
      <w:divsChild>
        <w:div w:id="1415590699">
          <w:marLeft w:val="0"/>
          <w:marRight w:val="0"/>
          <w:marTop w:val="0"/>
          <w:marBottom w:val="0"/>
          <w:divBdr>
            <w:top w:val="none" w:sz="0" w:space="0" w:color="auto"/>
            <w:left w:val="none" w:sz="0" w:space="0" w:color="auto"/>
            <w:bottom w:val="none" w:sz="0" w:space="0" w:color="auto"/>
            <w:right w:val="none" w:sz="0" w:space="0" w:color="auto"/>
          </w:divBdr>
          <w:divsChild>
            <w:div w:id="1990554948">
              <w:marLeft w:val="0"/>
              <w:marRight w:val="0"/>
              <w:marTop w:val="0"/>
              <w:marBottom w:val="0"/>
              <w:divBdr>
                <w:top w:val="none" w:sz="0" w:space="0" w:color="auto"/>
                <w:left w:val="none" w:sz="0" w:space="0" w:color="auto"/>
                <w:bottom w:val="none" w:sz="0" w:space="0" w:color="auto"/>
                <w:right w:val="none" w:sz="0" w:space="0" w:color="auto"/>
              </w:divBdr>
              <w:divsChild>
                <w:div w:id="223175593">
                  <w:marLeft w:val="0"/>
                  <w:marRight w:val="0"/>
                  <w:marTop w:val="0"/>
                  <w:marBottom w:val="0"/>
                  <w:divBdr>
                    <w:top w:val="none" w:sz="0" w:space="0" w:color="auto"/>
                    <w:left w:val="none" w:sz="0" w:space="0" w:color="auto"/>
                    <w:bottom w:val="none" w:sz="0" w:space="0" w:color="auto"/>
                    <w:right w:val="none" w:sz="0" w:space="0" w:color="auto"/>
                  </w:divBdr>
                  <w:divsChild>
                    <w:div w:id="215242221">
                      <w:marLeft w:val="0"/>
                      <w:marRight w:val="0"/>
                      <w:marTop w:val="0"/>
                      <w:marBottom w:val="0"/>
                      <w:divBdr>
                        <w:top w:val="none" w:sz="0" w:space="0" w:color="auto"/>
                        <w:left w:val="none" w:sz="0" w:space="0" w:color="auto"/>
                        <w:bottom w:val="none" w:sz="0" w:space="0" w:color="auto"/>
                        <w:right w:val="none" w:sz="0" w:space="0" w:color="auto"/>
                      </w:divBdr>
                      <w:divsChild>
                        <w:div w:id="1230504523">
                          <w:marLeft w:val="0"/>
                          <w:marRight w:val="0"/>
                          <w:marTop w:val="0"/>
                          <w:marBottom w:val="0"/>
                          <w:divBdr>
                            <w:top w:val="none" w:sz="0" w:space="0" w:color="auto"/>
                            <w:left w:val="none" w:sz="0" w:space="0" w:color="auto"/>
                            <w:bottom w:val="none" w:sz="0" w:space="0" w:color="auto"/>
                            <w:right w:val="none" w:sz="0" w:space="0" w:color="auto"/>
                          </w:divBdr>
                          <w:divsChild>
                            <w:div w:id="1411199942">
                              <w:marLeft w:val="0"/>
                              <w:marRight w:val="0"/>
                              <w:marTop w:val="0"/>
                              <w:marBottom w:val="0"/>
                              <w:divBdr>
                                <w:top w:val="single" w:sz="6" w:space="6" w:color="F0F0F0"/>
                                <w:left w:val="single" w:sz="6" w:space="6" w:color="F0F0F0"/>
                                <w:bottom w:val="single" w:sz="6" w:space="6" w:color="F0F0F0"/>
                                <w:right w:val="single" w:sz="6" w:space="6" w:color="F0F0F0"/>
                              </w:divBdr>
                              <w:divsChild>
                                <w:div w:id="672223316">
                                  <w:marLeft w:val="0"/>
                                  <w:marRight w:val="0"/>
                                  <w:marTop w:val="0"/>
                                  <w:marBottom w:val="0"/>
                                  <w:divBdr>
                                    <w:top w:val="none" w:sz="0" w:space="0" w:color="auto"/>
                                    <w:left w:val="none" w:sz="0" w:space="0" w:color="auto"/>
                                    <w:bottom w:val="none" w:sz="0" w:space="0" w:color="auto"/>
                                    <w:right w:val="none" w:sz="0" w:space="0" w:color="auto"/>
                                  </w:divBdr>
                                  <w:divsChild>
                                    <w:div w:id="13349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671012">
          <w:marLeft w:val="0"/>
          <w:marRight w:val="0"/>
          <w:marTop w:val="0"/>
          <w:marBottom w:val="0"/>
          <w:divBdr>
            <w:top w:val="none" w:sz="0" w:space="0" w:color="auto"/>
            <w:left w:val="none" w:sz="0" w:space="0" w:color="auto"/>
            <w:bottom w:val="none" w:sz="0" w:space="0" w:color="auto"/>
            <w:right w:val="none" w:sz="0" w:space="0" w:color="auto"/>
          </w:divBdr>
          <w:divsChild>
            <w:div w:id="1234506915">
              <w:marLeft w:val="0"/>
              <w:marRight w:val="0"/>
              <w:marTop w:val="0"/>
              <w:marBottom w:val="0"/>
              <w:divBdr>
                <w:top w:val="none" w:sz="0" w:space="0" w:color="auto"/>
                <w:left w:val="none" w:sz="0" w:space="0" w:color="auto"/>
                <w:bottom w:val="none" w:sz="0" w:space="0" w:color="auto"/>
                <w:right w:val="none" w:sz="0" w:space="0" w:color="auto"/>
              </w:divBdr>
              <w:divsChild>
                <w:div w:id="630864208">
                  <w:marLeft w:val="0"/>
                  <w:marRight w:val="0"/>
                  <w:marTop w:val="0"/>
                  <w:marBottom w:val="0"/>
                  <w:divBdr>
                    <w:top w:val="none" w:sz="0" w:space="0" w:color="auto"/>
                    <w:left w:val="none" w:sz="0" w:space="0" w:color="auto"/>
                    <w:bottom w:val="none" w:sz="0" w:space="0" w:color="auto"/>
                    <w:right w:val="none" w:sz="0" w:space="0" w:color="auto"/>
                  </w:divBdr>
                  <w:divsChild>
                    <w:div w:id="75786772">
                      <w:marLeft w:val="0"/>
                      <w:marRight w:val="0"/>
                      <w:marTop w:val="0"/>
                      <w:marBottom w:val="0"/>
                      <w:divBdr>
                        <w:top w:val="none" w:sz="0" w:space="0" w:color="auto"/>
                        <w:left w:val="none" w:sz="0" w:space="0" w:color="auto"/>
                        <w:bottom w:val="none" w:sz="0" w:space="0" w:color="auto"/>
                        <w:right w:val="none" w:sz="0" w:space="0" w:color="auto"/>
                      </w:divBdr>
                      <w:divsChild>
                        <w:div w:id="1568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40492">
      <w:bodyDiv w:val="1"/>
      <w:marLeft w:val="0"/>
      <w:marRight w:val="0"/>
      <w:marTop w:val="0"/>
      <w:marBottom w:val="0"/>
      <w:divBdr>
        <w:top w:val="none" w:sz="0" w:space="0" w:color="auto"/>
        <w:left w:val="none" w:sz="0" w:space="0" w:color="auto"/>
        <w:bottom w:val="none" w:sz="0" w:space="0" w:color="auto"/>
        <w:right w:val="none" w:sz="0" w:space="0" w:color="auto"/>
      </w:divBdr>
      <w:divsChild>
        <w:div w:id="958418960">
          <w:marLeft w:val="274"/>
          <w:marRight w:val="0"/>
          <w:marTop w:val="0"/>
          <w:marBottom w:val="0"/>
          <w:divBdr>
            <w:top w:val="none" w:sz="0" w:space="0" w:color="auto"/>
            <w:left w:val="none" w:sz="0" w:space="0" w:color="auto"/>
            <w:bottom w:val="none" w:sz="0" w:space="0" w:color="auto"/>
            <w:right w:val="none" w:sz="0" w:space="0" w:color="auto"/>
          </w:divBdr>
        </w:div>
        <w:div w:id="1805846444">
          <w:marLeft w:val="274"/>
          <w:marRight w:val="0"/>
          <w:marTop w:val="0"/>
          <w:marBottom w:val="0"/>
          <w:divBdr>
            <w:top w:val="none" w:sz="0" w:space="0" w:color="auto"/>
            <w:left w:val="none" w:sz="0" w:space="0" w:color="auto"/>
            <w:bottom w:val="none" w:sz="0" w:space="0" w:color="auto"/>
            <w:right w:val="none" w:sz="0" w:space="0" w:color="auto"/>
          </w:divBdr>
        </w:div>
        <w:div w:id="1560168492">
          <w:marLeft w:val="274"/>
          <w:marRight w:val="0"/>
          <w:marTop w:val="0"/>
          <w:marBottom w:val="0"/>
          <w:divBdr>
            <w:top w:val="none" w:sz="0" w:space="0" w:color="auto"/>
            <w:left w:val="none" w:sz="0" w:space="0" w:color="auto"/>
            <w:bottom w:val="none" w:sz="0" w:space="0" w:color="auto"/>
            <w:right w:val="none" w:sz="0" w:space="0" w:color="auto"/>
          </w:divBdr>
        </w:div>
        <w:div w:id="1873690573">
          <w:marLeft w:val="274"/>
          <w:marRight w:val="0"/>
          <w:marTop w:val="0"/>
          <w:marBottom w:val="0"/>
          <w:divBdr>
            <w:top w:val="none" w:sz="0" w:space="0" w:color="auto"/>
            <w:left w:val="none" w:sz="0" w:space="0" w:color="auto"/>
            <w:bottom w:val="none" w:sz="0" w:space="0" w:color="auto"/>
            <w:right w:val="none" w:sz="0" w:space="0" w:color="auto"/>
          </w:divBdr>
        </w:div>
        <w:div w:id="139758435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647</Words>
  <Characters>3688</Characters>
  <Application>Microsoft Office Word</Application>
  <DocSecurity>0</DocSecurity>
  <Lines>30</Lines>
  <Paragraphs>8</Paragraphs>
  <ScaleCrop>false</ScaleCrop>
  <Company>神州网信技术有限公司</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何丽</dc:creator>
  <cp:keywords/>
  <dc:description/>
  <cp:lastModifiedBy>何丽</cp:lastModifiedBy>
  <cp:revision>2</cp:revision>
  <cp:lastPrinted>2025-10-31T02:23:00Z</cp:lastPrinted>
  <dcterms:created xsi:type="dcterms:W3CDTF">2025-10-31T04:41:00Z</dcterms:created>
  <dcterms:modified xsi:type="dcterms:W3CDTF">2025-10-31T04:41:00Z</dcterms:modified>
</cp:coreProperties>
</file>