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C543" w14:textId="77777777" w:rsidR="00124969" w:rsidRDefault="00000000">
      <w:pPr>
        <w:pStyle w:val="1"/>
        <w:contextualSpacing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>证券代码：</w:t>
      </w:r>
      <w:r>
        <w:rPr>
          <w:rFonts w:ascii="Times New Roman" w:eastAsiaTheme="minorEastAsia" w:hAnsi="Times New Roman" w:cs="Times New Roman"/>
          <w:sz w:val="21"/>
          <w:szCs w:val="21"/>
        </w:rPr>
        <w:t>603212</w:t>
      </w:r>
      <w:r>
        <w:rPr>
          <w:rFonts w:ascii="Times New Roman" w:eastAsiaTheme="minorEastAsia" w:hAnsi="Times New Roman" w:cs="Times New Roman"/>
          <w:sz w:val="21"/>
          <w:szCs w:val="21"/>
        </w:rPr>
        <w:tab/>
      </w:r>
      <w:r>
        <w:rPr>
          <w:rFonts w:ascii="Times New Roman" w:eastAsiaTheme="minorEastAsia" w:hAnsi="Times New Roman" w:cs="Times New Roman"/>
          <w:sz w:val="21"/>
          <w:szCs w:val="21"/>
        </w:rPr>
        <w:tab/>
        <w:t xml:space="preserve">                                    </w:t>
      </w:r>
      <w:r>
        <w:rPr>
          <w:rFonts w:ascii="Times New Roman" w:eastAsiaTheme="minorEastAsia" w:hAnsi="Times New Roman" w:cs="Times New Roman"/>
          <w:sz w:val="21"/>
          <w:szCs w:val="21"/>
        </w:rPr>
        <w:t>证券简称：赛伍技术</w:t>
      </w:r>
    </w:p>
    <w:p w14:paraId="418D8289" w14:textId="77777777" w:rsidR="00124969" w:rsidRDefault="00000000">
      <w:pPr>
        <w:spacing w:line="360" w:lineRule="auto"/>
        <w:ind w:firstLine="420"/>
        <w:contextualSpacing/>
        <w:jc w:val="center"/>
        <w:rPr>
          <w:rFonts w:ascii="Times New Roman" w:eastAsiaTheme="minorEastAsia" w:hAnsi="Times New Roman" w:cs="Times New Roman"/>
          <w:b/>
          <w:bCs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bCs/>
          <w:sz w:val="30"/>
          <w:szCs w:val="30"/>
        </w:rPr>
        <w:t>苏州赛伍应用技术股份有限公司</w:t>
      </w:r>
    </w:p>
    <w:p w14:paraId="47E87FEB" w14:textId="77777777" w:rsidR="00124969" w:rsidRDefault="00000000">
      <w:pPr>
        <w:spacing w:line="360" w:lineRule="auto"/>
        <w:contextualSpacing/>
        <w:jc w:val="center"/>
        <w:rPr>
          <w:rFonts w:ascii="Times New Roman" w:eastAsiaTheme="minorEastAsia" w:hAnsi="Times New Roman" w:cs="Times New Roman"/>
          <w:b/>
          <w:bCs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bCs/>
          <w:sz w:val="30"/>
          <w:szCs w:val="30"/>
        </w:rPr>
        <w:t>投资者关系活动记录表</w:t>
      </w:r>
    </w:p>
    <w:p w14:paraId="2EEB0BAF" w14:textId="77777777" w:rsidR="00124969" w:rsidRDefault="00000000">
      <w:pPr>
        <w:spacing w:line="360" w:lineRule="auto"/>
        <w:contextualSpacing/>
        <w:jc w:val="right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>编号：</w:t>
      </w:r>
      <w:r>
        <w:rPr>
          <w:rFonts w:ascii="Times New Roman" w:eastAsiaTheme="minorEastAsia" w:hAnsi="Times New Roman" w:cs="Times New Roman"/>
          <w:sz w:val="21"/>
          <w:szCs w:val="21"/>
        </w:rPr>
        <w:t>202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5</w:t>
      </w:r>
      <w:r>
        <w:rPr>
          <w:rFonts w:ascii="Times New Roman" w:eastAsiaTheme="minorEastAsia" w:hAnsi="Times New Roman" w:cs="Times New Roman"/>
          <w:sz w:val="21"/>
          <w:szCs w:val="21"/>
        </w:rPr>
        <w:t>-00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5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149"/>
      </w:tblGrid>
      <w:tr w:rsidR="00124969" w14:paraId="55E6627A" w14:textId="77777777">
        <w:trPr>
          <w:trHeight w:val="2801"/>
          <w:jc w:val="center"/>
        </w:trPr>
        <w:tc>
          <w:tcPr>
            <w:tcW w:w="2376" w:type="dxa"/>
            <w:vAlign w:val="center"/>
          </w:tcPr>
          <w:p w14:paraId="7AD2C81D" w14:textId="77777777" w:rsidR="00124969" w:rsidRDefault="00124969">
            <w:pPr>
              <w:pStyle w:val="TableParagraph"/>
              <w:spacing w:before="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0353F4E7" w14:textId="77777777" w:rsidR="00124969" w:rsidRDefault="00000000">
            <w:pPr>
              <w:pStyle w:val="TableParagraph"/>
              <w:spacing w:before="1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投资者关系活动类别</w:t>
            </w:r>
          </w:p>
        </w:tc>
        <w:tc>
          <w:tcPr>
            <w:tcW w:w="6149" w:type="dxa"/>
            <w:vAlign w:val="center"/>
          </w:tcPr>
          <w:p w14:paraId="46E6F8D7" w14:textId="77777777" w:rsidR="00124969" w:rsidRDefault="00124969">
            <w:pPr>
              <w:pStyle w:val="TableParagraph"/>
              <w:spacing w:before="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25E52F6B" w14:textId="77777777" w:rsidR="00124969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特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定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对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象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调研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  <w:t>□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分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析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师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会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议</w:t>
            </w:r>
          </w:p>
          <w:p w14:paraId="6458E825" w14:textId="77777777" w:rsidR="00124969" w:rsidRDefault="00124969">
            <w:pPr>
              <w:pStyle w:val="TableParagraph"/>
              <w:spacing w:before="1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41CED032" w14:textId="77777777" w:rsidR="00124969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媒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体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采访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  <w:t>□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业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绩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说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明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会</w:t>
            </w:r>
          </w:p>
          <w:p w14:paraId="3615F890" w14:textId="77777777" w:rsidR="00124969" w:rsidRDefault="00124969">
            <w:pPr>
              <w:pStyle w:val="TableParagraph"/>
              <w:spacing w:before="8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03ED8375" w14:textId="77777777" w:rsidR="00124969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新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闻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发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布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会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ab/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√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路</w:t>
            </w:r>
            <w:r>
              <w:rPr>
                <w:rFonts w:ascii="Times New Roman" w:eastAsiaTheme="minorEastAsia" w:hAnsi="Times New Roman" w:cs="Times New Roman"/>
                <w:spacing w:val="-3"/>
                <w:sz w:val="21"/>
                <w:szCs w:val="21"/>
              </w:rPr>
              <w:t>演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活动</w:t>
            </w:r>
          </w:p>
          <w:p w14:paraId="49D8DC7F" w14:textId="77777777" w:rsidR="00124969" w:rsidRDefault="00124969">
            <w:pPr>
              <w:pStyle w:val="TableParagraph"/>
              <w:spacing w:before="8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5E3263A9" w14:textId="77777777" w:rsidR="00124969" w:rsidRDefault="00000000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bookmarkStart w:id="0" w:name="OLE_LINK2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□</w:t>
            </w:r>
            <w:bookmarkEnd w:id="0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现场参观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           □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一对一沟通</w:t>
            </w:r>
          </w:p>
          <w:p w14:paraId="6A090B0F" w14:textId="77777777" w:rsidR="00124969" w:rsidRDefault="00124969">
            <w:pPr>
              <w:pStyle w:val="TableParagraph"/>
              <w:spacing w:before="1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4CF4962F" w14:textId="77777777" w:rsidR="00124969" w:rsidRDefault="00000000">
            <w:pPr>
              <w:pStyle w:val="TableParagraph"/>
              <w:ind w:left="10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□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线上会议</w:t>
            </w:r>
          </w:p>
          <w:p w14:paraId="77FA3C40" w14:textId="77777777" w:rsidR="00124969" w:rsidRDefault="00124969">
            <w:pPr>
              <w:pStyle w:val="TableParagrap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</w:tc>
      </w:tr>
      <w:tr w:rsidR="00124969" w14:paraId="1BA88E04" w14:textId="77777777">
        <w:trPr>
          <w:trHeight w:val="1120"/>
          <w:jc w:val="center"/>
        </w:trPr>
        <w:tc>
          <w:tcPr>
            <w:tcW w:w="2376" w:type="dxa"/>
            <w:vAlign w:val="center"/>
          </w:tcPr>
          <w:p w14:paraId="025CCCA6" w14:textId="77777777" w:rsidR="00124969" w:rsidRDefault="00000000">
            <w:pPr>
              <w:pStyle w:val="TableParagraph"/>
              <w:spacing w:line="560" w:lineRule="exact"/>
              <w:ind w:left="107" w:right="96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参与单位名称及人员姓名</w:t>
            </w:r>
          </w:p>
        </w:tc>
        <w:tc>
          <w:tcPr>
            <w:tcW w:w="6149" w:type="dxa"/>
            <w:vAlign w:val="center"/>
          </w:tcPr>
          <w:p w14:paraId="3D23A61D" w14:textId="77777777" w:rsidR="00124969" w:rsidRDefault="00000000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上海嘉世私募基金、昊泽致远投资、耕霁投资、东吴证券、东兴证券、太平洋证券、中金公司、方正证券、中银国际证券、兴业证券、国泰海通证券、浙商证券、申银万国证券、中信证券、长江证券、交银国际证券、东北证券、国新国证基金、锆蓝资本、深圳市辰禾投资、一典资本</w:t>
            </w:r>
          </w:p>
        </w:tc>
      </w:tr>
      <w:tr w:rsidR="00124969" w14:paraId="6769087A" w14:textId="77777777">
        <w:trPr>
          <w:trHeight w:val="558"/>
          <w:jc w:val="center"/>
        </w:trPr>
        <w:tc>
          <w:tcPr>
            <w:tcW w:w="2376" w:type="dxa"/>
            <w:vAlign w:val="center"/>
          </w:tcPr>
          <w:p w14:paraId="0509F8A7" w14:textId="77777777" w:rsidR="00124969" w:rsidRDefault="00000000">
            <w:pPr>
              <w:pStyle w:val="TableParagraph"/>
              <w:spacing w:before="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时间</w:t>
            </w:r>
          </w:p>
        </w:tc>
        <w:tc>
          <w:tcPr>
            <w:tcW w:w="6149" w:type="dxa"/>
            <w:vAlign w:val="center"/>
          </w:tcPr>
          <w:p w14:paraId="6A94BECF" w14:textId="77777777" w:rsidR="00124969" w:rsidRDefault="00000000">
            <w:pPr>
              <w:pStyle w:val="TableParagrap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2025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10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月</w:t>
            </w:r>
          </w:p>
        </w:tc>
      </w:tr>
      <w:tr w:rsidR="00124969" w14:paraId="168C3F66" w14:textId="77777777">
        <w:trPr>
          <w:trHeight w:val="561"/>
          <w:jc w:val="center"/>
        </w:trPr>
        <w:tc>
          <w:tcPr>
            <w:tcW w:w="2376" w:type="dxa"/>
            <w:vAlign w:val="center"/>
          </w:tcPr>
          <w:p w14:paraId="4CD86A02" w14:textId="77777777" w:rsidR="00124969" w:rsidRDefault="00000000">
            <w:pPr>
              <w:pStyle w:val="TableParagrap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地点</w:t>
            </w:r>
          </w:p>
        </w:tc>
        <w:tc>
          <w:tcPr>
            <w:tcW w:w="6149" w:type="dxa"/>
            <w:vAlign w:val="center"/>
          </w:tcPr>
          <w:p w14:paraId="2567B4B5" w14:textId="77777777" w:rsidR="00124969" w:rsidRDefault="00000000">
            <w:pPr>
              <w:pStyle w:val="TableParagrap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线上、苏州</w:t>
            </w:r>
          </w:p>
        </w:tc>
      </w:tr>
      <w:tr w:rsidR="00124969" w14:paraId="5261D616" w14:textId="77777777">
        <w:trPr>
          <w:trHeight w:val="558"/>
          <w:jc w:val="center"/>
        </w:trPr>
        <w:tc>
          <w:tcPr>
            <w:tcW w:w="2376" w:type="dxa"/>
            <w:vAlign w:val="center"/>
          </w:tcPr>
          <w:p w14:paraId="5EB28F47" w14:textId="77777777" w:rsidR="00124969" w:rsidRDefault="00000000">
            <w:pPr>
              <w:pStyle w:val="TableParagraph"/>
              <w:spacing w:before="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上市公司接待人员姓名</w:t>
            </w:r>
          </w:p>
        </w:tc>
        <w:tc>
          <w:tcPr>
            <w:tcW w:w="6149" w:type="dxa"/>
            <w:vAlign w:val="center"/>
          </w:tcPr>
          <w:p w14:paraId="032F8DDC" w14:textId="77777777" w:rsidR="00124969" w:rsidRDefault="00000000">
            <w:pPr>
              <w:pStyle w:val="TableParagrap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CTO </w:t>
            </w:r>
            <w:r>
              <w:rPr>
                <w:rFonts w:ascii="Times New Roman" w:eastAsiaTheme="minorEastAsia" w:hAnsi="Times New Roman" w:cs="Times New Roman" w:hint="eastAsia"/>
              </w:rPr>
              <w:t>陈洪野、财务</w:t>
            </w:r>
            <w:r>
              <w:rPr>
                <w:rFonts w:ascii="Times New Roman" w:eastAsiaTheme="minorEastAsia" w:hAnsi="Times New Roman" w:cs="Times New Roman"/>
              </w:rPr>
              <w:t>总监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</w:rPr>
              <w:t>严文芹、财务副总监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</w:rPr>
              <w:t>彭岩、投关总监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</w:rPr>
              <w:t>万宣宣</w:t>
            </w:r>
          </w:p>
        </w:tc>
      </w:tr>
      <w:tr w:rsidR="00124969" w14:paraId="505A35FD" w14:textId="77777777">
        <w:trPr>
          <w:trHeight w:val="2117"/>
          <w:jc w:val="center"/>
        </w:trPr>
        <w:tc>
          <w:tcPr>
            <w:tcW w:w="2376" w:type="dxa"/>
            <w:vAlign w:val="center"/>
          </w:tcPr>
          <w:p w14:paraId="61551CED" w14:textId="77777777" w:rsidR="00124969" w:rsidRDefault="00000000">
            <w:pPr>
              <w:pStyle w:val="TableParagraph"/>
              <w:spacing w:before="1" w:line="499" w:lineRule="auto"/>
              <w:ind w:left="107" w:right="96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投资者关系活动主要内容介绍</w:t>
            </w:r>
          </w:p>
        </w:tc>
        <w:tc>
          <w:tcPr>
            <w:tcW w:w="6149" w:type="dxa"/>
            <w:vAlign w:val="center"/>
          </w:tcPr>
          <w:p w14:paraId="3992017F" w14:textId="77777777" w:rsidR="00124969" w:rsidRDefault="00000000">
            <w:pP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问题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 xml:space="preserve">1.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公司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2025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第三季度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经营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概括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？</w:t>
            </w:r>
          </w:p>
          <w:p w14:paraId="5BAC20E7" w14:textId="425BF4E5" w:rsidR="00124969" w:rsidRDefault="00000000">
            <w:pPr>
              <w:spacing w:beforeLines="50" w:before="1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：</w:t>
            </w:r>
            <w:bookmarkStart w:id="1" w:name="OLE_LINK15"/>
            <w:bookmarkStart w:id="2" w:name="OLE_LINK8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2025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年第三季度</w:t>
            </w:r>
            <w:bookmarkEnd w:id="1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，公司营业收入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6.87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亿元，同比增长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4.84%</w:t>
            </w:r>
            <w:r w:rsidR="00F651D2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。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胶膜业务和非光伏业务快速放量，其中胶膜、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锂电和新能源汽车材料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、消费电子板块出货量分别同比增长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57.5%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85.0%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77.1%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</w:t>
            </w:r>
            <w:bookmarkStart w:id="3" w:name="OLE_LINK22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营业收入</w:t>
            </w:r>
            <w:bookmarkEnd w:id="3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分别同比增长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19.2%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33.6%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41.9%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。公司归母净利润负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4488.76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万元，主要原因为背板业务受下游需求下滑影响导致背板出货量下降，而胶膜销售价格仍处于相对低位，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对净利润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有所影响。</w:t>
            </w:r>
          </w:p>
          <w:p w14:paraId="40646EC5" w14:textId="3CD0D25E" w:rsidR="00124969" w:rsidRDefault="00000000">
            <w:pPr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bookmarkStart w:id="4" w:name="OLE_LINK19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2025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年第三季度</w:t>
            </w:r>
            <w:bookmarkEnd w:id="4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，公司积极拓展光伏材料海外市场，越南生产基地胶膜产线保持满产；非光伏业务营业收入占比达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28.6%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</w:t>
            </w:r>
            <w:bookmarkStart w:id="5" w:name="OLE_LINK17"/>
            <w:r w:rsidR="00944F1F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同比增长</w:t>
            </w:r>
            <w:r w:rsidR="00944F1F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6.3</w:t>
            </w:r>
            <w:r w:rsidR="00944F1F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个百分点。</w:t>
            </w:r>
            <w:bookmarkEnd w:id="5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营业收入占比进一步提升，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电芯蓝膜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、车用双面胶带、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OLED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用上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下保护膜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等主流产品出货量快速增长。未来公司将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在现有产品维持市场领先地位的基础上，依靠强大的研发能力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进一步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推出差异化产品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，持续推进公司多元化、平台化发展。</w:t>
            </w:r>
          </w:p>
          <w:bookmarkEnd w:id="2"/>
          <w:p w14:paraId="533B792D" w14:textId="77777777" w:rsidR="00124969" w:rsidRDefault="00124969">
            <w:pPr>
              <w:spacing w:beforeLines="50" w:before="120" w:line="360" w:lineRule="auto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515879E0" w14:textId="77777777" w:rsidR="00124969" w:rsidRDefault="00000000">
            <w:pP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问题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胶膜业务的现状及未来规划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？</w:t>
            </w:r>
          </w:p>
          <w:p w14:paraId="4A485CB1" w14:textId="70935DBA" w:rsidR="00124969" w:rsidRDefault="00000000">
            <w:pPr>
              <w:spacing w:beforeLines="50" w:before="1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2025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年第三季度，公司胶膜业务营业收入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4.01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亿元，同比增长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19.2%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，出货量达到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8,505.49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万平，同比增长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57.5%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，胶膜处于满产状态。未来，公司将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积极布局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胶膜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海外市场，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进一步拓展包括印度、欧盟、日本、土耳其、越南、中国台湾等地区的市场，同时重点推广光转膜在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TOPCon</w:t>
            </w:r>
            <w:r w:rsidR="00F651D2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和</w:t>
            </w:r>
            <w:r w:rsidR="00F651D2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HJT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组件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海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外市场的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量产交付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。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为满足海外市场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日益增长的订单需求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，公司计划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通过轻资产模式扩产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，完成胶膜扩产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lastRenderedPageBreak/>
              <w:t>计划，进一步提升胶膜行业市占率。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</w:p>
          <w:p w14:paraId="5699477D" w14:textId="77777777" w:rsidR="00124969" w:rsidRDefault="00124969">
            <w:pPr>
              <w:spacing w:beforeLines="50" w:before="120" w:line="360" w:lineRule="auto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37EE9B5B" w14:textId="77777777" w:rsidR="00124969" w:rsidRDefault="00000000">
            <w:pPr>
              <w:spacing w:line="300" w:lineRule="auto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问题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未来背板业务及背板产线固定资产有何规划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？</w:t>
            </w:r>
          </w:p>
          <w:p w14:paraId="2CA82CC8" w14:textId="11401CAB" w:rsidR="00124969" w:rsidRDefault="0000000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：公司将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重点布局差异化背板产品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和海外市场销售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以</w:t>
            </w:r>
            <w:r w:rsidR="00F651D2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提升业务盈利能力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。</w:t>
            </w:r>
            <w:r w:rsidR="00F651D2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此外，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得益于公司多元化应用发展的战略，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公司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锂电和新能源汽车材料</w:t>
            </w:r>
            <w:r w:rsidR="00F651D2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业务客户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需求旺盛，在手订单充足</w:t>
            </w:r>
            <w:r w:rsidR="00F651D2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。同时，依靠公司强大的研发能力和工艺平台，公司着手于将背板用涂布产线经技术改造用于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生产</w:t>
            </w:r>
            <w:r w:rsidR="00F651D2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锂电及新能源汽车用涂布类产品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以满足日益增长的订单需求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</w:t>
            </w:r>
            <w:r w:rsidR="00F651D2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同时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盘活存量资产，提高资产收益率。</w:t>
            </w:r>
          </w:p>
          <w:p w14:paraId="0C33BD37" w14:textId="77777777" w:rsidR="00124969" w:rsidRDefault="00124969">
            <w:pPr>
              <w:spacing w:beforeLines="50" w:before="120" w:line="360" w:lineRule="auto"/>
              <w:contextualSpacing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  <w:p w14:paraId="408DC3A9" w14:textId="77777777" w:rsidR="00124969" w:rsidRDefault="00000000">
            <w:pPr>
              <w:spacing w:line="36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问题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：</w:t>
            </w:r>
            <w:bookmarkStart w:id="6" w:name="OLE_LINK3"/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锂电和新能源汽车材料</w:t>
            </w:r>
            <w:bookmarkEnd w:id="6"/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业务增长原因及未来布局？</w:t>
            </w:r>
          </w:p>
          <w:p w14:paraId="43805334" w14:textId="77777777" w:rsidR="00124969" w:rsidRDefault="00000000">
            <w:pPr>
              <w:contextualSpacing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：</w:t>
            </w:r>
            <w:bookmarkStart w:id="7" w:name="OLE_LINK20"/>
            <w:bookmarkStart w:id="8" w:name="OLE_LINK7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2025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年第三季度</w:t>
            </w:r>
            <w:bookmarkEnd w:id="7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锂电和新能源汽车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材料出货量同比增长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85.0%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，营业收入同比增长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33.6%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，主要原因为</w:t>
            </w:r>
            <w:bookmarkStart w:id="9" w:name="OLE_LINK14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锂电和新能源汽车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材料</w:t>
            </w:r>
            <w:bookmarkEnd w:id="9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需求旺盛，产线均处于满产状态。公司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电芯蓝膜、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CCS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及侧板绝缘膜、车用双面胶带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、防刺穿胶带等产品出货量增长。</w:t>
            </w:r>
          </w:p>
          <w:p w14:paraId="7CAE104D" w14:textId="63989600" w:rsidR="00124969" w:rsidRDefault="00000000">
            <w:pPr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公司重视与下游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客户协同创新</w:t>
            </w:r>
            <w:bookmarkEnd w:id="8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，为下游客户创造价值。老产品方面，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公司将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力争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进一步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提升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出货量和市占率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使得成本在行业内具备竞争力，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巩固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公司在行业内头部地位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。新产品方面，公司看好下游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FCC/FFC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信息采集组件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的应用前景，目前材料已持续量产并处于快速增长阶段。</w:t>
            </w:r>
            <w:bookmarkStart w:id="10" w:name="OLE_LINK13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高剪切蓝膜</w:t>
            </w:r>
            <w:bookmarkEnd w:id="10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具有免热压、免压敏的特点，解决传统蓝膜剪切力不足和传统涂料加热过程耗能耗时的问题，目前公司高剪切蓝膜产品处于快速放量阶段。未来公司将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加快新产品在客户端放量速度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通过新、老产品的顺利推动，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持续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为锂电和新能源汽车材料板块贡献业绩增量。</w:t>
            </w:r>
          </w:p>
          <w:p w14:paraId="2D0363E5" w14:textId="77777777" w:rsidR="00124969" w:rsidRDefault="00124969">
            <w:pPr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3199EAE0" w14:textId="77777777" w:rsidR="00124969" w:rsidRDefault="00000000">
            <w:pP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问题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5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消费电子业务增长原因及新产品的进展介绍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？</w:t>
            </w:r>
          </w:p>
          <w:p w14:paraId="0DACAFB0" w14:textId="77777777" w:rsidR="00124969" w:rsidRDefault="00000000">
            <w:pPr>
              <w:spacing w:beforeLines="50" w:before="1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A: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2025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年第三季度，公司消费电子业务出货量同比增长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77.1%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，营业收入同比增长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41.9%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，主要原因为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OLED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用上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下保护膜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、振膜材料等主流产品在下游客户处快速放量。</w:t>
            </w:r>
          </w:p>
          <w:p w14:paraId="0BC30263" w14:textId="77777777" w:rsidR="00124969" w:rsidRDefault="00000000">
            <w:pPr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公司聚焦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新型显示应用和声学应用的蓝海市场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针对显示技术，公</w:t>
            </w:r>
            <w:bookmarkStart w:id="11" w:name="OLE_LINK16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新产品主要集中在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OLED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、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MicroLED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等应用，其中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bookmarkStart w:id="12" w:name="OLE_LINK21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OLED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用上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下保护膜</w:t>
            </w:r>
            <w:bookmarkEnd w:id="12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目前处于快速放量期，出货量和营业收入均实现快速增长，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OLED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用支撑膜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已经通过下游客户验证，实现小批量出货，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OLED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一体化泡棉胶带、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OLED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显示用铜箔胶带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等新产品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处于客户验证阶段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</w:t>
            </w:r>
            <w:bookmarkEnd w:id="11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未来公司将借助下游产业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OLED 8.6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代线的投产机遇，进一步扩大市场占有率。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针对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bookmarkStart w:id="13" w:name="OLE_LINK18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MicroLED </w:t>
            </w:r>
            <w:bookmarkEnd w:id="13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应用，公司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MicroLED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基板切割保护膜、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MicroLED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用高洁净保护膜已经实现小批量量产。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在声学领域，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振膜材料具有较高的门槛，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公司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声学用橡胶膜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已经实现稳定快速放量，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处于行业内技术领先地位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。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</w:p>
          <w:p w14:paraId="31AE1D29" w14:textId="77777777" w:rsidR="00124969" w:rsidRDefault="00124969">
            <w:pPr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</w:p>
          <w:p w14:paraId="51CE2AA2" w14:textId="77777777" w:rsidR="00124969" w:rsidRDefault="00000000">
            <w:pP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  <w:lang w:val="en-US"/>
              </w:rPr>
              <w:t>问题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  <w:lang w:val="en-US"/>
              </w:rPr>
              <w:t xml:space="preserve">6.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  <w:lang w:val="en-US"/>
              </w:rPr>
              <w:t>半导体业务的进展？</w:t>
            </w:r>
          </w:p>
          <w:p w14:paraId="6D466DC7" w14:textId="77777777" w:rsidR="00124969" w:rsidRDefault="00000000">
            <w:pPr>
              <w:spacing w:beforeLines="50" w:before="1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：公司主流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产品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UV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减粘胶带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持续放量，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在下游芯片封装客户处份额进一步扩大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；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CMP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固定胶带、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Mini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LED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芯片翻膜用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UV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减粘膜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等产品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实现下游客户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的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稳定交付，目前进入放量阶段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。新产品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QFN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前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/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后贴膜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完成客户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小批量导入，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Mi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LED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针刺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UV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膜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在下游客户处完成验证通过，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功率模块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IPM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用金属散热片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在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国内白电功率模组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客户处于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验证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阶段，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未来有望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为半导体业务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贡献新的业绩增量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。</w:t>
            </w:r>
          </w:p>
          <w:p w14:paraId="78DC8577" w14:textId="77777777" w:rsidR="00124969" w:rsidRDefault="00124969">
            <w:pP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  <w:p w14:paraId="297EB29B" w14:textId="77777777" w:rsidR="00124969" w:rsidRDefault="00000000">
            <w:pPr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bookmarkStart w:id="14" w:name="OLE_LINK4"/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问题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bookmarkEnd w:id="14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公司在钙钛矿方面的进展？</w:t>
            </w:r>
          </w:p>
          <w:p w14:paraId="685ACD13" w14:textId="77777777" w:rsidR="00124969" w:rsidRDefault="00000000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lastRenderedPageBreak/>
              <w:t>A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：公司作为钙钛矿组件封装材料的头部生产厂商，凭借自身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多年研发投入和提前布局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，钙钛矿组件用封装胶膜持续交付并处于快速增长阶段，今年前三季度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公司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TPO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胶膜出货量同比增长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41.9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。</w:t>
            </w:r>
            <w:bookmarkStart w:id="15" w:name="OLE_LINK6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此外，公司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始终坚持与下游客户协同创新，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近期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与国内头部光伏企业达成钙钛矿光伏材料战略合作，为合作企业钙钛矿组件提供一站式高分子材料解决方案，</w:t>
            </w:r>
            <w:bookmarkStart w:id="16" w:name="OLE_LINK9"/>
            <w:bookmarkStart w:id="17" w:name="OLE_LINK10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包括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TPO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胶膜的批量交付意向以及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Raybo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光转胶膜，低温层压胶膜等封装材料及阻水材料</w:t>
            </w:r>
            <w:bookmarkEnd w:id="16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的验证</w:t>
            </w:r>
            <w:bookmarkEnd w:id="17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。</w:t>
            </w:r>
          </w:p>
          <w:p w14:paraId="1E2D18B3" w14:textId="77777777" w:rsidR="00124969" w:rsidRDefault="00124969">
            <w:pP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  <w:p w14:paraId="446E7474" w14:textId="77777777" w:rsidR="00124969" w:rsidRDefault="00000000">
            <w:pP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问题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固态电池提供哪些产品？</w:t>
            </w:r>
          </w:p>
          <w:p w14:paraId="3BF0C5B9" w14:textId="20A694F1" w:rsidR="00124969" w:rsidRDefault="00000000">
            <w:pPr>
              <w:spacing w:beforeLines="50" w:before="1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bookmarkStart w:id="18" w:name="OLE_LINK11"/>
            <w:bookmarkEnd w:id="15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：</w:t>
            </w:r>
            <w:bookmarkEnd w:id="18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公司持续关注固态电池产业及发展趋势，</w:t>
            </w:r>
            <w:r w:rsidR="00F651D2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提前做好研发布局，目前有多个产品处于开发或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下游客户验证</w:t>
            </w:r>
            <w:r w:rsidR="00F651D2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阶段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。</w:t>
            </w:r>
          </w:p>
          <w:p w14:paraId="5DABE329" w14:textId="77777777" w:rsidR="00124969" w:rsidRDefault="00124969">
            <w:pP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bookmarkStart w:id="19" w:name="OLE_LINK12"/>
          </w:p>
          <w:p w14:paraId="058D78EF" w14:textId="77777777" w:rsidR="00124969" w:rsidRDefault="00000000">
            <w:pPr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问题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公司在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AI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1"/>
                <w:szCs w:val="21"/>
              </w:rPr>
              <w:t>方面的布局？</w:t>
            </w:r>
          </w:p>
          <w:p w14:paraId="1F6510EA" w14:textId="77777777" w:rsidR="00124969" w:rsidRDefault="00000000">
            <w:pPr>
              <w:spacing w:beforeLines="50" w:before="1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公司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联合苏州大学引入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“AI+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新材料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”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创新思路，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建立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AI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实验室，同时，公司成立合资公司苏州熵基材智科技有限公司。该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AI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实验室和合资公司能够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构建材料开发模型与专用数据库，加速新材料研发；为关键研发项目提供精准计算与模拟服务；同时搭建安全高效的私有云平台，为研发工</w:t>
            </w:r>
            <w:bookmarkStart w:id="20" w:name="OLE_LINK5"/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作提供强大算力支撑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。公司目标借助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AI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平台，能够</w:t>
            </w:r>
            <w:bookmarkEnd w:id="20"/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提升研发效率、提高创新精确性，助力公司平台化、多元化的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可持续发展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。</w:t>
            </w:r>
          </w:p>
          <w:bookmarkEnd w:id="19"/>
          <w:p w14:paraId="1943928F" w14:textId="77777777" w:rsidR="00124969" w:rsidRDefault="00124969">
            <w:pPr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24969" w14:paraId="04213CB8" w14:textId="77777777">
        <w:trPr>
          <w:trHeight w:val="561"/>
          <w:jc w:val="center"/>
        </w:trPr>
        <w:tc>
          <w:tcPr>
            <w:tcW w:w="2376" w:type="dxa"/>
            <w:vAlign w:val="center"/>
          </w:tcPr>
          <w:p w14:paraId="42CB710A" w14:textId="77777777" w:rsidR="00124969" w:rsidRDefault="00000000">
            <w:pPr>
              <w:pStyle w:val="TableParagraph"/>
              <w:spacing w:before="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6149" w:type="dxa"/>
            <w:vAlign w:val="center"/>
          </w:tcPr>
          <w:p w14:paraId="11BC6952" w14:textId="77777777" w:rsidR="00124969" w:rsidRDefault="00000000">
            <w:pPr>
              <w:pStyle w:val="TableParagrap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无</w:t>
            </w:r>
          </w:p>
        </w:tc>
      </w:tr>
      <w:tr w:rsidR="00124969" w14:paraId="42739D8B" w14:textId="77777777">
        <w:trPr>
          <w:trHeight w:val="558"/>
          <w:jc w:val="center"/>
        </w:trPr>
        <w:tc>
          <w:tcPr>
            <w:tcW w:w="2376" w:type="dxa"/>
            <w:vAlign w:val="center"/>
          </w:tcPr>
          <w:p w14:paraId="7DF8ABAA" w14:textId="77777777" w:rsidR="00124969" w:rsidRDefault="00000000">
            <w:pPr>
              <w:pStyle w:val="TableParagraph"/>
              <w:spacing w:before="1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日期</w:t>
            </w:r>
          </w:p>
        </w:tc>
        <w:tc>
          <w:tcPr>
            <w:tcW w:w="6149" w:type="dxa"/>
            <w:vAlign w:val="center"/>
          </w:tcPr>
          <w:p w14:paraId="47DE9E81" w14:textId="77777777" w:rsidR="00124969" w:rsidRDefault="00000000">
            <w:pPr>
              <w:pStyle w:val="TableParagraph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2025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10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31</w:t>
            </w:r>
            <w:r>
              <w:rPr>
                <w:rFonts w:ascii="Times New Roman" w:eastAsiaTheme="minorEastAsia" w:hAnsi="Times New Roman" w:cs="Times New Roman"/>
                <w:sz w:val="21"/>
                <w:szCs w:val="21"/>
              </w:rPr>
              <w:t>日</w:t>
            </w:r>
          </w:p>
        </w:tc>
      </w:tr>
    </w:tbl>
    <w:p w14:paraId="686FBFCD" w14:textId="77777777" w:rsidR="00124969" w:rsidRDefault="00124969">
      <w:pPr>
        <w:rPr>
          <w:rFonts w:ascii="Times New Roman" w:eastAsiaTheme="minorEastAsia" w:hAnsi="Times New Roman" w:cs="Times New Roman"/>
        </w:rPr>
      </w:pPr>
    </w:p>
    <w:p w14:paraId="221E014D" w14:textId="77777777" w:rsidR="00124969" w:rsidRDefault="00124969">
      <w:pPr>
        <w:widowControl/>
        <w:autoSpaceDE/>
        <w:autoSpaceDN/>
        <w:rPr>
          <w:rFonts w:ascii="Times New Roman" w:eastAsiaTheme="minorEastAsia" w:hAnsi="Times New Roman" w:cs="Times New Roman"/>
        </w:rPr>
      </w:pPr>
    </w:p>
    <w:sectPr w:rsidR="00124969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4194" w14:textId="77777777" w:rsidR="005861E0" w:rsidRDefault="005861E0" w:rsidP="00F651D2">
      <w:pPr>
        <w:rPr>
          <w:rFonts w:hint="eastAsia"/>
        </w:rPr>
      </w:pPr>
      <w:r>
        <w:separator/>
      </w:r>
    </w:p>
  </w:endnote>
  <w:endnote w:type="continuationSeparator" w:id="0">
    <w:p w14:paraId="3722FE3E" w14:textId="77777777" w:rsidR="005861E0" w:rsidRDefault="005861E0" w:rsidP="00F651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1C1E0" w14:textId="77777777" w:rsidR="005861E0" w:rsidRDefault="005861E0" w:rsidP="00F651D2">
      <w:pPr>
        <w:rPr>
          <w:rFonts w:hint="eastAsia"/>
        </w:rPr>
      </w:pPr>
      <w:r>
        <w:separator/>
      </w:r>
    </w:p>
  </w:footnote>
  <w:footnote w:type="continuationSeparator" w:id="0">
    <w:p w14:paraId="65B9B197" w14:textId="77777777" w:rsidR="005861E0" w:rsidRDefault="005861E0" w:rsidP="00F651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AE"/>
    <w:rsid w:val="000111C4"/>
    <w:rsid w:val="00021307"/>
    <w:rsid w:val="00025AF1"/>
    <w:rsid w:val="0003290C"/>
    <w:rsid w:val="0003443A"/>
    <w:rsid w:val="00043C49"/>
    <w:rsid w:val="000476EB"/>
    <w:rsid w:val="00050F3B"/>
    <w:rsid w:val="00055DC3"/>
    <w:rsid w:val="000569C1"/>
    <w:rsid w:val="000610B5"/>
    <w:rsid w:val="00072A62"/>
    <w:rsid w:val="0007599B"/>
    <w:rsid w:val="00077A8B"/>
    <w:rsid w:val="00095AD0"/>
    <w:rsid w:val="000A0509"/>
    <w:rsid w:val="000A1563"/>
    <w:rsid w:val="000A6352"/>
    <w:rsid w:val="000B2F92"/>
    <w:rsid w:val="000B7BA6"/>
    <w:rsid w:val="000C24A2"/>
    <w:rsid w:val="000C5794"/>
    <w:rsid w:val="000C7441"/>
    <w:rsid w:val="000D73B7"/>
    <w:rsid w:val="000E55E2"/>
    <w:rsid w:val="000E623C"/>
    <w:rsid w:val="000E6EB1"/>
    <w:rsid w:val="000F5344"/>
    <w:rsid w:val="00100592"/>
    <w:rsid w:val="001059DF"/>
    <w:rsid w:val="00105A32"/>
    <w:rsid w:val="00105AE4"/>
    <w:rsid w:val="00111DD7"/>
    <w:rsid w:val="001122B5"/>
    <w:rsid w:val="00112E47"/>
    <w:rsid w:val="00114D07"/>
    <w:rsid w:val="00121E2E"/>
    <w:rsid w:val="001232BF"/>
    <w:rsid w:val="00123A24"/>
    <w:rsid w:val="001244F8"/>
    <w:rsid w:val="00124969"/>
    <w:rsid w:val="00125B6F"/>
    <w:rsid w:val="00130A7F"/>
    <w:rsid w:val="00133173"/>
    <w:rsid w:val="0013631D"/>
    <w:rsid w:val="00142C84"/>
    <w:rsid w:val="00143195"/>
    <w:rsid w:val="00144D6D"/>
    <w:rsid w:val="00150480"/>
    <w:rsid w:val="00150704"/>
    <w:rsid w:val="0015133F"/>
    <w:rsid w:val="00152EB4"/>
    <w:rsid w:val="00156B34"/>
    <w:rsid w:val="00156B85"/>
    <w:rsid w:val="001644FC"/>
    <w:rsid w:val="00172298"/>
    <w:rsid w:val="00173A94"/>
    <w:rsid w:val="00173D0C"/>
    <w:rsid w:val="00175032"/>
    <w:rsid w:val="0018167B"/>
    <w:rsid w:val="0019331F"/>
    <w:rsid w:val="001A1810"/>
    <w:rsid w:val="001A2073"/>
    <w:rsid w:val="001A258F"/>
    <w:rsid w:val="001A2863"/>
    <w:rsid w:val="001A4DA6"/>
    <w:rsid w:val="001A6473"/>
    <w:rsid w:val="001B05B9"/>
    <w:rsid w:val="001B0E44"/>
    <w:rsid w:val="001C11BD"/>
    <w:rsid w:val="001C297B"/>
    <w:rsid w:val="001C2B98"/>
    <w:rsid w:val="001D01D7"/>
    <w:rsid w:val="001D42AB"/>
    <w:rsid w:val="001D4ACA"/>
    <w:rsid w:val="001D7484"/>
    <w:rsid w:val="001E04DF"/>
    <w:rsid w:val="001E21D8"/>
    <w:rsid w:val="001E3895"/>
    <w:rsid w:val="001E48B9"/>
    <w:rsid w:val="002001FC"/>
    <w:rsid w:val="002032F8"/>
    <w:rsid w:val="0020445F"/>
    <w:rsid w:val="00211ECF"/>
    <w:rsid w:val="00213493"/>
    <w:rsid w:val="00213D68"/>
    <w:rsid w:val="0021450C"/>
    <w:rsid w:val="002167F2"/>
    <w:rsid w:val="002214BB"/>
    <w:rsid w:val="00222784"/>
    <w:rsid w:val="00233DAF"/>
    <w:rsid w:val="002439C9"/>
    <w:rsid w:val="00252704"/>
    <w:rsid w:val="00252902"/>
    <w:rsid w:val="00253B28"/>
    <w:rsid w:val="00256626"/>
    <w:rsid w:val="00260A52"/>
    <w:rsid w:val="00264EE9"/>
    <w:rsid w:val="00266893"/>
    <w:rsid w:val="00274441"/>
    <w:rsid w:val="0027599F"/>
    <w:rsid w:val="00277DFA"/>
    <w:rsid w:val="00281F5A"/>
    <w:rsid w:val="0028486B"/>
    <w:rsid w:val="00292D36"/>
    <w:rsid w:val="00294A77"/>
    <w:rsid w:val="0029641A"/>
    <w:rsid w:val="00297D52"/>
    <w:rsid w:val="002A1C32"/>
    <w:rsid w:val="002A2969"/>
    <w:rsid w:val="002A2EBC"/>
    <w:rsid w:val="002A4D00"/>
    <w:rsid w:val="002B40DC"/>
    <w:rsid w:val="002B64E6"/>
    <w:rsid w:val="002B7DB5"/>
    <w:rsid w:val="002B7F1D"/>
    <w:rsid w:val="002C29E7"/>
    <w:rsid w:val="002C4FAA"/>
    <w:rsid w:val="002C60BE"/>
    <w:rsid w:val="002D4735"/>
    <w:rsid w:val="002D5DA2"/>
    <w:rsid w:val="002E44ED"/>
    <w:rsid w:val="002E4A24"/>
    <w:rsid w:val="002E5BCE"/>
    <w:rsid w:val="002F0A66"/>
    <w:rsid w:val="002F355E"/>
    <w:rsid w:val="002F41EC"/>
    <w:rsid w:val="002F7007"/>
    <w:rsid w:val="002F7E14"/>
    <w:rsid w:val="00301425"/>
    <w:rsid w:val="003039C6"/>
    <w:rsid w:val="0031044A"/>
    <w:rsid w:val="00317470"/>
    <w:rsid w:val="00317EF2"/>
    <w:rsid w:val="00322320"/>
    <w:rsid w:val="00325D86"/>
    <w:rsid w:val="00332562"/>
    <w:rsid w:val="00332B9B"/>
    <w:rsid w:val="00335CC2"/>
    <w:rsid w:val="003361FB"/>
    <w:rsid w:val="00341313"/>
    <w:rsid w:val="003502F7"/>
    <w:rsid w:val="00351A43"/>
    <w:rsid w:val="00353F53"/>
    <w:rsid w:val="003660FF"/>
    <w:rsid w:val="003719C2"/>
    <w:rsid w:val="00372BC6"/>
    <w:rsid w:val="0037335D"/>
    <w:rsid w:val="00376940"/>
    <w:rsid w:val="003929B0"/>
    <w:rsid w:val="00395EBD"/>
    <w:rsid w:val="003974DB"/>
    <w:rsid w:val="003A08FB"/>
    <w:rsid w:val="003A2575"/>
    <w:rsid w:val="003A2CB0"/>
    <w:rsid w:val="003A3B67"/>
    <w:rsid w:val="003A7A2F"/>
    <w:rsid w:val="003B179D"/>
    <w:rsid w:val="003B34F7"/>
    <w:rsid w:val="003C6479"/>
    <w:rsid w:val="003D1C3F"/>
    <w:rsid w:val="003D3F43"/>
    <w:rsid w:val="003D6EBD"/>
    <w:rsid w:val="003E5F69"/>
    <w:rsid w:val="003E6C8C"/>
    <w:rsid w:val="003F6C80"/>
    <w:rsid w:val="003F757C"/>
    <w:rsid w:val="00401010"/>
    <w:rsid w:val="004067A1"/>
    <w:rsid w:val="00407F2D"/>
    <w:rsid w:val="00417261"/>
    <w:rsid w:val="004210FB"/>
    <w:rsid w:val="00423241"/>
    <w:rsid w:val="004255A8"/>
    <w:rsid w:val="004318B2"/>
    <w:rsid w:val="00432DAC"/>
    <w:rsid w:val="0043593C"/>
    <w:rsid w:val="00440027"/>
    <w:rsid w:val="00441070"/>
    <w:rsid w:val="00444159"/>
    <w:rsid w:val="0044541C"/>
    <w:rsid w:val="0044780C"/>
    <w:rsid w:val="00450C77"/>
    <w:rsid w:val="004521F3"/>
    <w:rsid w:val="00456861"/>
    <w:rsid w:val="00457734"/>
    <w:rsid w:val="00461C9F"/>
    <w:rsid w:val="00461E92"/>
    <w:rsid w:val="00465CFE"/>
    <w:rsid w:val="004728D6"/>
    <w:rsid w:val="00474568"/>
    <w:rsid w:val="004A331F"/>
    <w:rsid w:val="004A4536"/>
    <w:rsid w:val="004B4D4C"/>
    <w:rsid w:val="004C0E4A"/>
    <w:rsid w:val="004C2B94"/>
    <w:rsid w:val="004C2E4B"/>
    <w:rsid w:val="004D0FEC"/>
    <w:rsid w:val="004D3294"/>
    <w:rsid w:val="004D52E3"/>
    <w:rsid w:val="004D7266"/>
    <w:rsid w:val="004D7333"/>
    <w:rsid w:val="004D7662"/>
    <w:rsid w:val="004D7CE2"/>
    <w:rsid w:val="004E2F43"/>
    <w:rsid w:val="004E388B"/>
    <w:rsid w:val="004E3F54"/>
    <w:rsid w:val="004F7C96"/>
    <w:rsid w:val="0050290D"/>
    <w:rsid w:val="005048EA"/>
    <w:rsid w:val="00506CB9"/>
    <w:rsid w:val="00513141"/>
    <w:rsid w:val="00515B63"/>
    <w:rsid w:val="00521767"/>
    <w:rsid w:val="00521A57"/>
    <w:rsid w:val="005225F9"/>
    <w:rsid w:val="005230E6"/>
    <w:rsid w:val="00531BF2"/>
    <w:rsid w:val="005369AF"/>
    <w:rsid w:val="00543EFE"/>
    <w:rsid w:val="00545E88"/>
    <w:rsid w:val="00551FA8"/>
    <w:rsid w:val="00555043"/>
    <w:rsid w:val="005630EA"/>
    <w:rsid w:val="005638AC"/>
    <w:rsid w:val="00570354"/>
    <w:rsid w:val="0057457C"/>
    <w:rsid w:val="00582329"/>
    <w:rsid w:val="005861E0"/>
    <w:rsid w:val="00596116"/>
    <w:rsid w:val="005A3639"/>
    <w:rsid w:val="005A5BC4"/>
    <w:rsid w:val="005A5C4E"/>
    <w:rsid w:val="005A6D2F"/>
    <w:rsid w:val="005A757E"/>
    <w:rsid w:val="005A796C"/>
    <w:rsid w:val="005B1ED2"/>
    <w:rsid w:val="005B45BB"/>
    <w:rsid w:val="005B79AE"/>
    <w:rsid w:val="005C027E"/>
    <w:rsid w:val="005C0820"/>
    <w:rsid w:val="005C1781"/>
    <w:rsid w:val="005C1981"/>
    <w:rsid w:val="005C7295"/>
    <w:rsid w:val="005C73EB"/>
    <w:rsid w:val="005C74B1"/>
    <w:rsid w:val="005D3A06"/>
    <w:rsid w:val="005D7637"/>
    <w:rsid w:val="005E2CC7"/>
    <w:rsid w:val="005F0BFF"/>
    <w:rsid w:val="005F1110"/>
    <w:rsid w:val="005F3182"/>
    <w:rsid w:val="005F4631"/>
    <w:rsid w:val="005F5668"/>
    <w:rsid w:val="00602983"/>
    <w:rsid w:val="00603EB7"/>
    <w:rsid w:val="006053DE"/>
    <w:rsid w:val="00611D5F"/>
    <w:rsid w:val="0061230A"/>
    <w:rsid w:val="00612865"/>
    <w:rsid w:val="00615AB6"/>
    <w:rsid w:val="00617A9E"/>
    <w:rsid w:val="00621239"/>
    <w:rsid w:val="00624D79"/>
    <w:rsid w:val="00626538"/>
    <w:rsid w:val="006266D2"/>
    <w:rsid w:val="00634F72"/>
    <w:rsid w:val="00635325"/>
    <w:rsid w:val="006401E1"/>
    <w:rsid w:val="0064459F"/>
    <w:rsid w:val="0065135B"/>
    <w:rsid w:val="00653EA9"/>
    <w:rsid w:val="00654D10"/>
    <w:rsid w:val="006566BF"/>
    <w:rsid w:val="00657C56"/>
    <w:rsid w:val="006705A8"/>
    <w:rsid w:val="006707DC"/>
    <w:rsid w:val="0067280C"/>
    <w:rsid w:val="00680B22"/>
    <w:rsid w:val="006812CA"/>
    <w:rsid w:val="00684306"/>
    <w:rsid w:val="00684B60"/>
    <w:rsid w:val="006877C6"/>
    <w:rsid w:val="00692560"/>
    <w:rsid w:val="00694E19"/>
    <w:rsid w:val="0069544B"/>
    <w:rsid w:val="00695C16"/>
    <w:rsid w:val="0069676A"/>
    <w:rsid w:val="006A3EDE"/>
    <w:rsid w:val="006B3CC3"/>
    <w:rsid w:val="006B6D37"/>
    <w:rsid w:val="006C7F67"/>
    <w:rsid w:val="006D0A97"/>
    <w:rsid w:val="006D4008"/>
    <w:rsid w:val="006D60B9"/>
    <w:rsid w:val="006E659A"/>
    <w:rsid w:val="006F17C9"/>
    <w:rsid w:val="006F1DC3"/>
    <w:rsid w:val="006F28E1"/>
    <w:rsid w:val="006F3993"/>
    <w:rsid w:val="006F53C9"/>
    <w:rsid w:val="006F6508"/>
    <w:rsid w:val="0070168A"/>
    <w:rsid w:val="0070509C"/>
    <w:rsid w:val="0070567E"/>
    <w:rsid w:val="00706C8E"/>
    <w:rsid w:val="00707D1D"/>
    <w:rsid w:val="00707D29"/>
    <w:rsid w:val="0071146B"/>
    <w:rsid w:val="00713096"/>
    <w:rsid w:val="0071693A"/>
    <w:rsid w:val="00717231"/>
    <w:rsid w:val="00725AF8"/>
    <w:rsid w:val="00726529"/>
    <w:rsid w:val="00730B8C"/>
    <w:rsid w:val="0073213F"/>
    <w:rsid w:val="0073273E"/>
    <w:rsid w:val="0073398A"/>
    <w:rsid w:val="007436DF"/>
    <w:rsid w:val="00745896"/>
    <w:rsid w:val="00750979"/>
    <w:rsid w:val="00757433"/>
    <w:rsid w:val="00760EA9"/>
    <w:rsid w:val="00761284"/>
    <w:rsid w:val="007637CF"/>
    <w:rsid w:val="00770FD5"/>
    <w:rsid w:val="007743D0"/>
    <w:rsid w:val="00774DD1"/>
    <w:rsid w:val="00775242"/>
    <w:rsid w:val="007753F4"/>
    <w:rsid w:val="00776AE1"/>
    <w:rsid w:val="00776F1A"/>
    <w:rsid w:val="00777ABA"/>
    <w:rsid w:val="00785FD6"/>
    <w:rsid w:val="00796ADD"/>
    <w:rsid w:val="00797C19"/>
    <w:rsid w:val="007A014C"/>
    <w:rsid w:val="007A55BD"/>
    <w:rsid w:val="007B0F9D"/>
    <w:rsid w:val="007B1F0A"/>
    <w:rsid w:val="007B5A2F"/>
    <w:rsid w:val="007C4184"/>
    <w:rsid w:val="007C70B9"/>
    <w:rsid w:val="007D1FC1"/>
    <w:rsid w:val="007D76EE"/>
    <w:rsid w:val="007E05CE"/>
    <w:rsid w:val="007E2319"/>
    <w:rsid w:val="007F0730"/>
    <w:rsid w:val="007F524A"/>
    <w:rsid w:val="007F5B06"/>
    <w:rsid w:val="008055B4"/>
    <w:rsid w:val="00806C40"/>
    <w:rsid w:val="00806DC2"/>
    <w:rsid w:val="00807E0C"/>
    <w:rsid w:val="008130AF"/>
    <w:rsid w:val="00813DAF"/>
    <w:rsid w:val="00831966"/>
    <w:rsid w:val="008439A0"/>
    <w:rsid w:val="00845038"/>
    <w:rsid w:val="0085593B"/>
    <w:rsid w:val="008611C9"/>
    <w:rsid w:val="0086396D"/>
    <w:rsid w:val="00864C7D"/>
    <w:rsid w:val="00872DF9"/>
    <w:rsid w:val="0087366E"/>
    <w:rsid w:val="00876287"/>
    <w:rsid w:val="008763F7"/>
    <w:rsid w:val="00876F8E"/>
    <w:rsid w:val="00883A6F"/>
    <w:rsid w:val="00884B02"/>
    <w:rsid w:val="00885921"/>
    <w:rsid w:val="008934C5"/>
    <w:rsid w:val="00896633"/>
    <w:rsid w:val="008A0221"/>
    <w:rsid w:val="008A0CE8"/>
    <w:rsid w:val="008A4DD8"/>
    <w:rsid w:val="008A56E2"/>
    <w:rsid w:val="008B24B7"/>
    <w:rsid w:val="008B7BE1"/>
    <w:rsid w:val="008C0371"/>
    <w:rsid w:val="008C6274"/>
    <w:rsid w:val="008D3B4E"/>
    <w:rsid w:val="008D6754"/>
    <w:rsid w:val="008F15AD"/>
    <w:rsid w:val="008F5F10"/>
    <w:rsid w:val="00902EA9"/>
    <w:rsid w:val="0090348A"/>
    <w:rsid w:val="00903B5B"/>
    <w:rsid w:val="0091093D"/>
    <w:rsid w:val="00917116"/>
    <w:rsid w:val="009228BE"/>
    <w:rsid w:val="009239FE"/>
    <w:rsid w:val="00925582"/>
    <w:rsid w:val="00935110"/>
    <w:rsid w:val="00935561"/>
    <w:rsid w:val="009376A5"/>
    <w:rsid w:val="009376DD"/>
    <w:rsid w:val="00941D60"/>
    <w:rsid w:val="00944D35"/>
    <w:rsid w:val="00944F1F"/>
    <w:rsid w:val="00947A40"/>
    <w:rsid w:val="0095172A"/>
    <w:rsid w:val="00955420"/>
    <w:rsid w:val="009577CB"/>
    <w:rsid w:val="0096125A"/>
    <w:rsid w:val="00961C51"/>
    <w:rsid w:val="0096624D"/>
    <w:rsid w:val="009665FD"/>
    <w:rsid w:val="00971BE8"/>
    <w:rsid w:val="009724ED"/>
    <w:rsid w:val="0097361B"/>
    <w:rsid w:val="00976607"/>
    <w:rsid w:val="00976DD5"/>
    <w:rsid w:val="00980A20"/>
    <w:rsid w:val="0098208A"/>
    <w:rsid w:val="0098758C"/>
    <w:rsid w:val="009908FD"/>
    <w:rsid w:val="0099524D"/>
    <w:rsid w:val="009A35B5"/>
    <w:rsid w:val="009B0A29"/>
    <w:rsid w:val="009B7DF2"/>
    <w:rsid w:val="009C5FD3"/>
    <w:rsid w:val="009D21D3"/>
    <w:rsid w:val="009D4565"/>
    <w:rsid w:val="009D7312"/>
    <w:rsid w:val="009E1488"/>
    <w:rsid w:val="009E49EA"/>
    <w:rsid w:val="009E6CCF"/>
    <w:rsid w:val="009E7038"/>
    <w:rsid w:val="009E7093"/>
    <w:rsid w:val="009F45BF"/>
    <w:rsid w:val="00A06AE2"/>
    <w:rsid w:val="00A0774D"/>
    <w:rsid w:val="00A15CFA"/>
    <w:rsid w:val="00A21882"/>
    <w:rsid w:val="00A238AC"/>
    <w:rsid w:val="00A30253"/>
    <w:rsid w:val="00A32BA8"/>
    <w:rsid w:val="00A33234"/>
    <w:rsid w:val="00A3449C"/>
    <w:rsid w:val="00A3654A"/>
    <w:rsid w:val="00A419B1"/>
    <w:rsid w:val="00A41F62"/>
    <w:rsid w:val="00A42B6B"/>
    <w:rsid w:val="00A44F0E"/>
    <w:rsid w:val="00A45B98"/>
    <w:rsid w:val="00A67016"/>
    <w:rsid w:val="00A7089F"/>
    <w:rsid w:val="00A72DFD"/>
    <w:rsid w:val="00A770AD"/>
    <w:rsid w:val="00A82194"/>
    <w:rsid w:val="00A94547"/>
    <w:rsid w:val="00A96880"/>
    <w:rsid w:val="00A97E4A"/>
    <w:rsid w:val="00AA145B"/>
    <w:rsid w:val="00AA1CC7"/>
    <w:rsid w:val="00AA2D1A"/>
    <w:rsid w:val="00AC4264"/>
    <w:rsid w:val="00AD011F"/>
    <w:rsid w:val="00AD2840"/>
    <w:rsid w:val="00AD4CFF"/>
    <w:rsid w:val="00AD4F80"/>
    <w:rsid w:val="00AE1B81"/>
    <w:rsid w:val="00AE3CC9"/>
    <w:rsid w:val="00AE7A43"/>
    <w:rsid w:val="00AF072B"/>
    <w:rsid w:val="00AF21CE"/>
    <w:rsid w:val="00AF2392"/>
    <w:rsid w:val="00AF52CC"/>
    <w:rsid w:val="00AF778A"/>
    <w:rsid w:val="00AF77CA"/>
    <w:rsid w:val="00B10AF1"/>
    <w:rsid w:val="00B16A04"/>
    <w:rsid w:val="00B41F45"/>
    <w:rsid w:val="00B42062"/>
    <w:rsid w:val="00B458AD"/>
    <w:rsid w:val="00B50CBD"/>
    <w:rsid w:val="00B545FC"/>
    <w:rsid w:val="00B56B7D"/>
    <w:rsid w:val="00B82DB6"/>
    <w:rsid w:val="00B83BD8"/>
    <w:rsid w:val="00B94A8F"/>
    <w:rsid w:val="00B977EE"/>
    <w:rsid w:val="00B97FE2"/>
    <w:rsid w:val="00BA4990"/>
    <w:rsid w:val="00BA6758"/>
    <w:rsid w:val="00BA6E6C"/>
    <w:rsid w:val="00BA7AD2"/>
    <w:rsid w:val="00BB2D4D"/>
    <w:rsid w:val="00BC071C"/>
    <w:rsid w:val="00BC35CE"/>
    <w:rsid w:val="00BC48D0"/>
    <w:rsid w:val="00BC74A6"/>
    <w:rsid w:val="00BC7CAE"/>
    <w:rsid w:val="00BC7CD1"/>
    <w:rsid w:val="00BD030D"/>
    <w:rsid w:val="00BD3F0B"/>
    <w:rsid w:val="00BE3C9B"/>
    <w:rsid w:val="00BE4882"/>
    <w:rsid w:val="00BF005C"/>
    <w:rsid w:val="00BF1F0E"/>
    <w:rsid w:val="00BF5870"/>
    <w:rsid w:val="00BF5E4F"/>
    <w:rsid w:val="00C00C65"/>
    <w:rsid w:val="00C00C6E"/>
    <w:rsid w:val="00C02940"/>
    <w:rsid w:val="00C04D7B"/>
    <w:rsid w:val="00C05DCB"/>
    <w:rsid w:val="00C06035"/>
    <w:rsid w:val="00C114CA"/>
    <w:rsid w:val="00C1794E"/>
    <w:rsid w:val="00C2006E"/>
    <w:rsid w:val="00C262EE"/>
    <w:rsid w:val="00C357CF"/>
    <w:rsid w:val="00C5299A"/>
    <w:rsid w:val="00C56E71"/>
    <w:rsid w:val="00C606FA"/>
    <w:rsid w:val="00C65A43"/>
    <w:rsid w:val="00C762AE"/>
    <w:rsid w:val="00C81E20"/>
    <w:rsid w:val="00C83A53"/>
    <w:rsid w:val="00C851BD"/>
    <w:rsid w:val="00C85F41"/>
    <w:rsid w:val="00C9441B"/>
    <w:rsid w:val="00C95842"/>
    <w:rsid w:val="00C95977"/>
    <w:rsid w:val="00C96938"/>
    <w:rsid w:val="00C9780B"/>
    <w:rsid w:val="00CB12FB"/>
    <w:rsid w:val="00CB493B"/>
    <w:rsid w:val="00CB5456"/>
    <w:rsid w:val="00CC08D6"/>
    <w:rsid w:val="00CC5A9C"/>
    <w:rsid w:val="00CC6AAF"/>
    <w:rsid w:val="00CC6D87"/>
    <w:rsid w:val="00CD16E0"/>
    <w:rsid w:val="00CE331B"/>
    <w:rsid w:val="00CE38C2"/>
    <w:rsid w:val="00CE7CE9"/>
    <w:rsid w:val="00CF05F7"/>
    <w:rsid w:val="00CF2557"/>
    <w:rsid w:val="00CF302F"/>
    <w:rsid w:val="00D03BAC"/>
    <w:rsid w:val="00D06256"/>
    <w:rsid w:val="00D06B8E"/>
    <w:rsid w:val="00D2163D"/>
    <w:rsid w:val="00D25801"/>
    <w:rsid w:val="00D27A93"/>
    <w:rsid w:val="00D307E0"/>
    <w:rsid w:val="00D3421F"/>
    <w:rsid w:val="00D351BA"/>
    <w:rsid w:val="00D418C3"/>
    <w:rsid w:val="00D46102"/>
    <w:rsid w:val="00D533E6"/>
    <w:rsid w:val="00D65C15"/>
    <w:rsid w:val="00D67860"/>
    <w:rsid w:val="00D72104"/>
    <w:rsid w:val="00D740D0"/>
    <w:rsid w:val="00D94404"/>
    <w:rsid w:val="00D94BEF"/>
    <w:rsid w:val="00D94CCB"/>
    <w:rsid w:val="00D97853"/>
    <w:rsid w:val="00DB136E"/>
    <w:rsid w:val="00DB3673"/>
    <w:rsid w:val="00DB7257"/>
    <w:rsid w:val="00DB726F"/>
    <w:rsid w:val="00DB7B8A"/>
    <w:rsid w:val="00DC01BE"/>
    <w:rsid w:val="00DC0A04"/>
    <w:rsid w:val="00DC5683"/>
    <w:rsid w:val="00DC76D5"/>
    <w:rsid w:val="00DC7BF2"/>
    <w:rsid w:val="00DD2599"/>
    <w:rsid w:val="00DE00D5"/>
    <w:rsid w:val="00DE0A41"/>
    <w:rsid w:val="00DE2691"/>
    <w:rsid w:val="00DF3052"/>
    <w:rsid w:val="00E02393"/>
    <w:rsid w:val="00E02FCF"/>
    <w:rsid w:val="00E0445B"/>
    <w:rsid w:val="00E07770"/>
    <w:rsid w:val="00E07ACA"/>
    <w:rsid w:val="00E07BB1"/>
    <w:rsid w:val="00E07CBB"/>
    <w:rsid w:val="00E2288B"/>
    <w:rsid w:val="00E25C07"/>
    <w:rsid w:val="00E3375A"/>
    <w:rsid w:val="00E47169"/>
    <w:rsid w:val="00E47FE7"/>
    <w:rsid w:val="00E51F26"/>
    <w:rsid w:val="00E53B0C"/>
    <w:rsid w:val="00E54508"/>
    <w:rsid w:val="00E55EB2"/>
    <w:rsid w:val="00E570DB"/>
    <w:rsid w:val="00E619C6"/>
    <w:rsid w:val="00E855B3"/>
    <w:rsid w:val="00E86F09"/>
    <w:rsid w:val="00E86F6B"/>
    <w:rsid w:val="00E96F3C"/>
    <w:rsid w:val="00EB7F90"/>
    <w:rsid w:val="00ED0F36"/>
    <w:rsid w:val="00ED21D2"/>
    <w:rsid w:val="00ED25FA"/>
    <w:rsid w:val="00EE02F6"/>
    <w:rsid w:val="00EE496D"/>
    <w:rsid w:val="00EF360E"/>
    <w:rsid w:val="00EF3669"/>
    <w:rsid w:val="00EF4AFC"/>
    <w:rsid w:val="00F0410E"/>
    <w:rsid w:val="00F11ED3"/>
    <w:rsid w:val="00F1714A"/>
    <w:rsid w:val="00F23871"/>
    <w:rsid w:val="00F423C0"/>
    <w:rsid w:val="00F44A3C"/>
    <w:rsid w:val="00F45506"/>
    <w:rsid w:val="00F547EC"/>
    <w:rsid w:val="00F651D2"/>
    <w:rsid w:val="00F7205C"/>
    <w:rsid w:val="00F74297"/>
    <w:rsid w:val="00F748D4"/>
    <w:rsid w:val="00F74A78"/>
    <w:rsid w:val="00F75BDB"/>
    <w:rsid w:val="00F96B12"/>
    <w:rsid w:val="00F97E2C"/>
    <w:rsid w:val="00FA0559"/>
    <w:rsid w:val="00FA216D"/>
    <w:rsid w:val="00FA2EA4"/>
    <w:rsid w:val="00FA6286"/>
    <w:rsid w:val="00FA6A9B"/>
    <w:rsid w:val="00FB1B73"/>
    <w:rsid w:val="00FC2B64"/>
    <w:rsid w:val="00FC640F"/>
    <w:rsid w:val="00FD0701"/>
    <w:rsid w:val="00FD209E"/>
    <w:rsid w:val="00FD210A"/>
    <w:rsid w:val="00FD30E7"/>
    <w:rsid w:val="00FD730A"/>
    <w:rsid w:val="00FE0397"/>
    <w:rsid w:val="00FE30A8"/>
    <w:rsid w:val="00FE55C1"/>
    <w:rsid w:val="00FE703F"/>
    <w:rsid w:val="00FF14D9"/>
    <w:rsid w:val="00FF5624"/>
    <w:rsid w:val="09186774"/>
    <w:rsid w:val="12070CAE"/>
    <w:rsid w:val="2AAB27C3"/>
    <w:rsid w:val="3EBA5592"/>
    <w:rsid w:val="4DEC2B6E"/>
    <w:rsid w:val="6A2C708B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11269"/>
  <w15:docId w15:val="{21ADCAD4-0220-4D47-81CE-85965B92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7">
    <w:name w:val="页脚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列出段落1"/>
    <w:basedOn w:val="a"/>
    <w:qFormat/>
    <w:pPr>
      <w:autoSpaceDE/>
      <w:autoSpaceDN/>
      <w:ind w:firstLineChars="200" w:firstLine="420"/>
      <w:jc w:val="both"/>
    </w:pPr>
    <w:rPr>
      <w:rFonts w:ascii="等线" w:eastAsia="等线" w:hAnsi="等线" w:cs="Times New Roman"/>
      <w:kern w:val="2"/>
      <w:sz w:val="21"/>
      <w:szCs w:val="21"/>
      <w:lang w:val="en-US" w:bidi="ar-SA"/>
    </w:rPr>
  </w:style>
  <w:style w:type="paragraph" w:customStyle="1" w:styleId="dt-shareparagraph-text-no-vad">
    <w:name w:val="dt-share__paragraph-text-no-vad"/>
    <w:basedOn w:val="a"/>
    <w:qFormat/>
    <w:pPr>
      <w:widowControl/>
      <w:autoSpaceDE/>
      <w:autoSpaceDN/>
      <w:spacing w:before="100" w:beforeAutospacing="1" w:after="100" w:afterAutospacing="1"/>
    </w:pPr>
    <w:rPr>
      <w:rFonts w:ascii="宋体" w:eastAsiaTheme="minorEastAsia" w:hAnsi="宋体" w:cs="宋体"/>
      <w:sz w:val="21"/>
      <w:szCs w:val="24"/>
      <w:lang w:val="en-US" w:bidi="ar-SA"/>
    </w:rPr>
  </w:style>
  <w:style w:type="paragraph" w:customStyle="1" w:styleId="11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b">
    <w:name w:val="批注主题 字符"/>
    <w:basedOn w:val="a4"/>
    <w:link w:val="aa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paragraph" w:styleId="ad">
    <w:name w:val="Revision"/>
    <w:hidden/>
    <w:uiPriority w:val="99"/>
    <w:unhideWhenUsed/>
    <w:rsid w:val="00F651D2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1327</Words>
  <Characters>1447</Characters>
  <Application>Microsoft Office Word</Application>
  <DocSecurity>0</DocSecurity>
  <Lines>72</Lines>
  <Paragraphs>46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wan xx</cp:lastModifiedBy>
  <cp:revision>5</cp:revision>
  <dcterms:created xsi:type="dcterms:W3CDTF">2025-10-31T07:28:00Z</dcterms:created>
  <dcterms:modified xsi:type="dcterms:W3CDTF">2025-10-31T07:31:00Z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HT_FileSaveTime">
    <vt:lpwstr>2022-03-31 17:51:31</vt:lpwstr>
  </property>
  <property fmtid="{D5CDD505-2E9C-101B-9397-08002B2CF9AE}" pid="4" name="BD_Doc_Page_Count">
    <vt:lpwstr>2</vt:lpwstr>
  </property>
  <property fmtid="{D5CDD505-2E9C-101B-9397-08002B2CF9AE}" pid="5" name="KSOTemplateDocerSaveRecord">
    <vt:lpwstr>eyJoZGlkIjoiZjY4Mzg3OWI2NjQ2NTZjYjgxMWYwZjZiMDFjZjc0NTciLCJ1c2VySWQiOiI2NTU4NDc3MTAifQ==</vt:lpwstr>
  </property>
  <property fmtid="{D5CDD505-2E9C-101B-9397-08002B2CF9AE}" pid="6" name="ICV">
    <vt:lpwstr>0AD8A18C01904AD29B6C240A72B31B93_13</vt:lpwstr>
  </property>
</Properties>
</file>