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CBB1">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603885                             </w:t>
      </w:r>
      <w:r>
        <w:rPr>
          <w:rFonts w:hint="eastAsia"/>
          <w:color w:val="000000"/>
          <w:sz w:val="24"/>
        </w:rPr>
        <w:t xml:space="preserve">    </w:t>
      </w:r>
      <w:r>
        <w:rPr>
          <w:rFonts w:hAnsi="宋体"/>
          <w:bCs/>
          <w:iCs/>
          <w:color w:val="000000"/>
          <w:sz w:val="24"/>
        </w:rPr>
        <w:t>证券简称：</w:t>
      </w:r>
      <w:r>
        <w:rPr>
          <w:color w:val="000000"/>
          <w:sz w:val="24"/>
        </w:rPr>
        <w:t>吉祥航空</w:t>
      </w:r>
    </w:p>
    <w:p w14:paraId="5D355689">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上海吉祥航空股份有限公司</w:t>
      </w:r>
      <w:r>
        <w:rPr>
          <w:rFonts w:hint="eastAsia" w:ascii="宋体" w:hAnsi="宋体"/>
          <w:b/>
          <w:bCs/>
          <w:iCs/>
          <w:color w:val="000000"/>
          <w:sz w:val="32"/>
          <w:szCs w:val="32"/>
        </w:rPr>
        <w:t>投资者关系活动记录表</w:t>
      </w:r>
    </w:p>
    <w:p w14:paraId="52117D9E">
      <w:pPr>
        <w:spacing w:line="400" w:lineRule="exact"/>
        <w:jc w:val="right"/>
        <w:rPr>
          <w:bCs/>
          <w:iCs/>
          <w:color w:val="000000"/>
          <w:sz w:val="24"/>
        </w:rPr>
      </w:pPr>
      <w:r>
        <w:rPr>
          <w:rFonts w:hint="eastAsia" w:ascii="宋体" w:hAnsi="宋体"/>
          <w:bCs/>
          <w:iCs/>
          <w:color w:val="000000"/>
          <w:sz w:val="24"/>
        </w:rPr>
        <w:t>编号：202</w:t>
      </w:r>
      <w:r>
        <w:rPr>
          <w:rFonts w:hint="default" w:ascii="宋体" w:hAnsi="宋体"/>
          <w:bCs/>
          <w:iCs/>
          <w:color w:val="000000"/>
          <w:sz w:val="24"/>
          <w:lang w:val="en-US"/>
        </w:rPr>
        <w:t>5</w:t>
      </w:r>
      <w:r>
        <w:rPr>
          <w:rFonts w:hint="eastAsia" w:ascii="宋体" w:hAnsi="宋体"/>
          <w:bCs/>
          <w:iCs/>
          <w:color w:val="000000"/>
          <w:sz w:val="24"/>
        </w:rPr>
        <w:t>-00</w:t>
      </w:r>
      <w:r>
        <w:rPr>
          <w:rFonts w:hint="eastAsia" w:ascii="宋体" w:hAnsi="宋体"/>
          <w:bCs/>
          <w:iCs/>
          <w:color w:val="000000"/>
          <w:sz w:val="24"/>
          <w:lang w:val="en-US" w:eastAsia="zh-CN"/>
        </w:rPr>
        <w:t>3</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36D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FD5D782">
            <w:pPr>
              <w:spacing w:line="420" w:lineRule="exact"/>
              <w:rPr>
                <w:bCs/>
                <w:iCs/>
                <w:color w:val="000000"/>
                <w:kern w:val="0"/>
                <w:sz w:val="24"/>
              </w:rPr>
            </w:pPr>
            <w:r>
              <w:rPr>
                <w:rFonts w:hAnsi="宋体"/>
                <w:bCs/>
                <w:iCs/>
                <w:color w:val="000000"/>
                <w:kern w:val="0"/>
                <w:sz w:val="24"/>
              </w:rPr>
              <w:t>投资者关系活动类别</w:t>
            </w:r>
          </w:p>
          <w:p w14:paraId="00769CD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00DC4C36">
            <w:pPr>
              <w:spacing w:line="420" w:lineRule="exact"/>
              <w:rPr>
                <w:bCs/>
                <w:iCs/>
                <w:color w:val="000000"/>
                <w:sz w:val="24"/>
              </w:rPr>
            </w:pP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分析师会议</w:t>
            </w:r>
          </w:p>
          <w:p w14:paraId="78EC4AF6">
            <w:pPr>
              <w:spacing w:line="420" w:lineRule="exact"/>
              <w:rPr>
                <w:bCs/>
                <w:iCs/>
                <w:color w:val="000000"/>
                <w:kern w:val="0"/>
                <w:sz w:val="24"/>
              </w:rPr>
            </w:pP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业绩说明会</w:t>
            </w:r>
          </w:p>
          <w:p w14:paraId="63371D31">
            <w:pPr>
              <w:spacing w:line="420" w:lineRule="exact"/>
              <w:rPr>
                <w:bCs/>
                <w:iCs/>
                <w:color w:val="000000"/>
                <w:kern w:val="0"/>
                <w:sz w:val="24"/>
              </w:rPr>
            </w:pP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bCs/>
                <w:iCs/>
                <w:color w:val="000000"/>
                <w:kern w:val="0"/>
                <w:sz w:val="24"/>
              </w:rPr>
              <w:t xml:space="preserve">□ </w:t>
            </w:r>
            <w:r>
              <w:rPr>
                <w:rFonts w:hAnsi="宋体"/>
                <w:kern w:val="0"/>
                <w:sz w:val="24"/>
              </w:rPr>
              <w:t>路演活动</w:t>
            </w:r>
          </w:p>
          <w:p w14:paraId="14D001E2">
            <w:pPr>
              <w:tabs>
                <w:tab w:val="left" w:pos="3045"/>
                <w:tab w:val="center" w:pos="3199"/>
              </w:tabs>
              <w:spacing w:line="420" w:lineRule="exact"/>
              <w:rPr>
                <w:bCs/>
                <w:iCs/>
                <w:color w:val="000000"/>
                <w:kern w:val="0"/>
                <w:sz w:val="24"/>
              </w:rPr>
            </w:pPr>
            <w:r>
              <w:rPr>
                <w:rFonts w:hint="eastAsia"/>
                <w:bCs/>
                <w:iCs/>
                <w:color w:val="000000"/>
                <w:kern w:val="0"/>
                <w:sz w:val="24"/>
              </w:rPr>
              <w:t xml:space="preserve">□ </w:t>
            </w:r>
            <w:r>
              <w:rPr>
                <w:rFonts w:hAnsi="宋体"/>
                <w:kern w:val="0"/>
                <w:sz w:val="24"/>
              </w:rPr>
              <w:t>现场参观</w:t>
            </w:r>
            <w:r>
              <w:rPr>
                <w:bCs/>
                <w:iCs/>
                <w:color w:val="000000"/>
                <w:kern w:val="0"/>
                <w:sz w:val="24"/>
              </w:rPr>
              <w:tab/>
            </w:r>
          </w:p>
          <w:p w14:paraId="5A841A7B">
            <w:pPr>
              <w:tabs>
                <w:tab w:val="center" w:pos="3199"/>
              </w:tabs>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u w:val="single"/>
                <w:lang w:val="en-US" w:eastAsia="zh-CN"/>
              </w:rPr>
              <w:t>三季度业绩交流</w:t>
            </w:r>
            <w:r>
              <w:rPr>
                <w:rFonts w:hAnsi="宋体"/>
                <w:kern w:val="0"/>
                <w:sz w:val="24"/>
              </w:rPr>
              <w:t>）</w:t>
            </w:r>
          </w:p>
        </w:tc>
      </w:tr>
      <w:tr w14:paraId="4E39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8ABDDD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D5E1AE2">
            <w:pPr>
              <w:spacing w:line="420" w:lineRule="exact"/>
              <w:rPr>
                <w:rFonts w:hint="eastAsia" w:eastAsia="宋体"/>
                <w:bCs/>
                <w:iCs/>
                <w:color w:val="000000"/>
                <w:sz w:val="24"/>
                <w:lang w:val="en-GB" w:eastAsia="zh-CN"/>
              </w:rPr>
            </w:pPr>
            <w:r>
              <w:rPr>
                <w:rFonts w:hint="eastAsia"/>
                <w:bCs/>
                <w:iCs/>
                <w:color w:val="000000"/>
                <w:sz w:val="24"/>
                <w:lang w:val="en-GB" w:eastAsia="zh-CN"/>
              </w:rPr>
              <w:t>民生证券、华泰证券、招商证券、国泰海通</w:t>
            </w:r>
            <w:r>
              <w:rPr>
                <w:rFonts w:hint="eastAsia"/>
                <w:bCs/>
                <w:iCs/>
                <w:color w:val="000000"/>
                <w:sz w:val="24"/>
                <w:lang w:val="en-US" w:eastAsia="zh-CN"/>
              </w:rPr>
              <w:t>证券</w:t>
            </w:r>
            <w:r>
              <w:rPr>
                <w:rFonts w:hint="eastAsia"/>
                <w:bCs/>
                <w:iCs/>
                <w:color w:val="000000"/>
                <w:sz w:val="24"/>
                <w:lang w:val="en-GB" w:eastAsia="zh-CN"/>
              </w:rPr>
              <w:t xml:space="preserve">、中金交运、海富通基金管理有限公司、兴证交运、渤海人寿保险股份有限公司等100余家机构投资者代表及分析师出席本次活动。 </w:t>
            </w:r>
          </w:p>
        </w:tc>
      </w:tr>
      <w:tr w14:paraId="172C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09CB81E">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1CAB847A">
            <w:pPr>
              <w:spacing w:line="420" w:lineRule="exact"/>
              <w:rPr>
                <w:bCs/>
                <w:iCs/>
                <w:color w:val="000000"/>
                <w:sz w:val="24"/>
              </w:rPr>
            </w:pPr>
            <w:r>
              <w:rPr>
                <w:rFonts w:hint="eastAsia"/>
                <w:bCs/>
                <w:iCs/>
                <w:color w:val="000000"/>
                <w:sz w:val="24"/>
              </w:rPr>
              <w:t>2025-</w:t>
            </w:r>
            <w:r>
              <w:rPr>
                <w:rFonts w:hint="eastAsia"/>
                <w:bCs/>
                <w:iCs/>
                <w:color w:val="000000"/>
                <w:sz w:val="24"/>
                <w:lang w:val="en-US" w:eastAsia="zh-CN"/>
              </w:rPr>
              <w:t>10</w:t>
            </w:r>
            <w:r>
              <w:rPr>
                <w:rFonts w:hint="eastAsia"/>
                <w:bCs/>
                <w:iCs/>
                <w:color w:val="000000"/>
                <w:sz w:val="24"/>
              </w:rPr>
              <w:t>-</w:t>
            </w:r>
            <w:r>
              <w:rPr>
                <w:rFonts w:hint="eastAsia"/>
                <w:bCs/>
                <w:iCs/>
                <w:color w:val="000000"/>
                <w:sz w:val="24"/>
                <w:lang w:val="en-US" w:eastAsia="zh-CN"/>
              </w:rPr>
              <w:t>31</w:t>
            </w:r>
          </w:p>
        </w:tc>
      </w:tr>
      <w:tr w14:paraId="6E1A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74193D5">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35A8574F">
            <w:pPr>
              <w:spacing w:line="420" w:lineRule="exact"/>
              <w:rPr>
                <w:bCs/>
                <w:iCs/>
                <w:color w:val="000000"/>
                <w:sz w:val="24"/>
              </w:rPr>
            </w:pPr>
            <w:r>
              <w:rPr>
                <w:rFonts w:hint="eastAsia" w:ascii="宋体" w:hAnsi="宋体"/>
                <w:sz w:val="24"/>
              </w:rPr>
              <w:t>电话会议</w:t>
            </w:r>
          </w:p>
        </w:tc>
      </w:tr>
      <w:tr w14:paraId="292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8B1D185">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07E276DB">
            <w:pPr>
              <w:spacing w:line="420" w:lineRule="exact"/>
              <w:rPr>
                <w:rFonts w:hint="eastAsia" w:ascii="宋体" w:hAnsi="宋体"/>
                <w:bCs/>
                <w:sz w:val="24"/>
              </w:rPr>
            </w:pPr>
            <w:r>
              <w:rPr>
                <w:rFonts w:hint="eastAsia" w:ascii="宋体" w:hAnsi="宋体"/>
                <w:bCs/>
                <w:sz w:val="24"/>
              </w:rPr>
              <w:t xml:space="preserve">1、董事长助理兼董事会秘书徐骏民先生 </w:t>
            </w:r>
          </w:p>
          <w:p w14:paraId="08423115">
            <w:pPr>
              <w:spacing w:line="420" w:lineRule="exact"/>
              <w:rPr>
                <w:rFonts w:ascii="宋体" w:hAnsi="宋体"/>
                <w:bCs/>
                <w:sz w:val="24"/>
              </w:rPr>
            </w:pPr>
            <w:r>
              <w:rPr>
                <w:rFonts w:hint="eastAsia" w:ascii="宋体" w:hAnsi="宋体"/>
                <w:bCs/>
                <w:sz w:val="24"/>
              </w:rPr>
              <w:t>2、证券事务代表王晰</w:t>
            </w:r>
          </w:p>
        </w:tc>
      </w:tr>
      <w:tr w14:paraId="0DC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5C50BF4">
            <w:pPr>
              <w:spacing w:line="420" w:lineRule="exact"/>
              <w:rPr>
                <w:bCs/>
                <w:iCs/>
                <w:color w:val="000000"/>
                <w:kern w:val="0"/>
                <w:sz w:val="24"/>
              </w:rPr>
            </w:pPr>
            <w:r>
              <w:rPr>
                <w:rFonts w:hAnsi="宋体"/>
                <w:bCs/>
                <w:iCs/>
                <w:color w:val="000000"/>
                <w:kern w:val="0"/>
                <w:sz w:val="24"/>
              </w:rPr>
              <w:t>投资者关系活动主要内容介绍</w:t>
            </w:r>
          </w:p>
          <w:p w14:paraId="4C02A538">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37E329E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eastAsia="宋体"/>
                <w:b w:val="0"/>
                <w:bCs/>
                <w:sz w:val="24"/>
                <w:lang w:eastAsia="zh-CN"/>
              </w:rPr>
            </w:pPr>
            <w:r>
              <w:rPr>
                <w:rFonts w:hint="eastAsia" w:ascii="宋体" w:hAnsi="宋体"/>
                <w:b w:val="0"/>
                <w:bCs/>
                <w:sz w:val="24"/>
              </w:rPr>
              <w:t>机构投资者及研究机构提出的问题及公司回复情况</w:t>
            </w:r>
            <w:r>
              <w:rPr>
                <w:rFonts w:hint="eastAsia" w:ascii="宋体" w:hAnsi="宋体"/>
                <w:b w:val="0"/>
                <w:bCs/>
                <w:sz w:val="24"/>
                <w:lang w:eastAsia="zh-CN"/>
              </w:rPr>
              <w:t>：</w:t>
            </w:r>
          </w:p>
          <w:p w14:paraId="60D3FC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hint="eastAsia" w:ascii="宋体" w:hAnsi="宋体"/>
                <w:b/>
                <w:sz w:val="24"/>
              </w:rPr>
            </w:pPr>
            <w:r>
              <w:rPr>
                <w:rFonts w:hint="eastAsia" w:ascii="宋体" w:hAnsi="宋体"/>
                <w:b/>
                <w:sz w:val="24"/>
              </w:rPr>
              <w:t>9、10月份行业票价恢复较好，对Q4季度的预期？</w:t>
            </w:r>
          </w:p>
          <w:p w14:paraId="47850F6A">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航空业传统暑运后九月本应淡季，今年却现错峰出行需求旺盛、票价及客座率持续提升的超预期局面，系多种利好因素累积的综合体现：</w:t>
            </w:r>
          </w:p>
          <w:p w14:paraId="0878E5B3">
            <w:pPr>
              <w:keepNext w:val="0"/>
              <w:keepLines w:val="0"/>
              <w:pageBreakBefore w:val="0"/>
              <w:widowControl w:val="0"/>
              <w:numPr>
                <w:ilvl w:val="0"/>
                <w:numId w:val="2"/>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政策与行业自律效应显现：国家层面的指导意见对维护市场良性竞争环境起到了关键作用。主力航空公司严格遵守指引、共同维护票价水平。</w:t>
            </w:r>
          </w:p>
          <w:p w14:paraId="2AD062DC">
            <w:pPr>
              <w:keepNext w:val="0"/>
              <w:keepLines w:val="0"/>
              <w:pageBreakBefore w:val="0"/>
              <w:widowControl w:val="0"/>
              <w:numPr>
                <w:ilvl w:val="0"/>
                <w:numId w:val="2"/>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供需关系根本性改善：飞机运力引进速度放缓，其带来的供给端约束效应正在逐步显现。当前市场正处于供需关系转向紧平衡的节点。</w:t>
            </w:r>
          </w:p>
          <w:p w14:paraId="082872CE">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（3）客源结构多元化：个人出行、上海枢纽中转客流（含国际旅客）、免签政策恢复的入境旅客构成多元需求基础，四季度传统商务出行减少对业绩冲击较往年平缓。</w:t>
            </w:r>
          </w:p>
          <w:p w14:paraId="55F2A484">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4）公司航线结构契合新格局：公司航线网络与市场变化趋势高度契合，787宽体机运营洲际航线（含5个欧洲航点）及日本、澳洲市场，经一年多市场培育已成功吸引高比例外籍旅客及经上海中转旅客，网络灵活性和客源多样性使公司在当前市场格局变化中处于有利位置。</w:t>
            </w:r>
          </w:p>
          <w:p w14:paraId="1134B77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运力减少的背景下，后续如何调配飞机运力？</w:t>
            </w:r>
          </w:p>
          <w:p w14:paraId="4C4509C8">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在航线网络优化过程中，</w:t>
            </w:r>
            <w:r>
              <w:rPr>
                <w:rFonts w:hint="eastAsia" w:ascii="宋体" w:hAnsi="宋体"/>
                <w:bCs/>
                <w:sz w:val="24"/>
                <w:lang w:val="en-US" w:eastAsia="zh-CN"/>
              </w:rPr>
              <w:t>公司</w:t>
            </w:r>
            <w:r>
              <w:rPr>
                <w:rFonts w:hint="eastAsia" w:ascii="宋体" w:hAnsi="宋体"/>
                <w:bCs/>
                <w:sz w:val="24"/>
              </w:rPr>
              <w:t>始终坚持将运力投向收益最高市场的总体原则。但实际飞机调配和航班编排面临多重技术约束，执行无法完全理想化：</w:t>
            </w:r>
          </w:p>
          <w:p w14:paraId="73FE59C4">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（1）运营编排的技术复杂性：航班计划是系统性问题，需综合考虑飞机利用率（如早班出港、晚班回港衔接），故网络构建非简单投入最优航线，需全局性技术平衡。</w:t>
            </w:r>
          </w:p>
          <w:p w14:paraId="5A542FD9">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（2）审批限制：航线开设、时刻获取需审批，非航司自主决定。</w:t>
            </w:r>
          </w:p>
          <w:p w14:paraId="54641F08">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公司核心策略是集中资源保障高收益核心航线，运力减少时绝不分散到低收益航线，但无法完全杜绝低收益航班，原因包括：</w:t>
            </w:r>
          </w:p>
          <w:p w14:paraId="01347716">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（1）维持网络连通性：某些航班收益不高但为</w:t>
            </w:r>
            <w:r>
              <w:rPr>
                <w:rFonts w:hint="eastAsia" w:ascii="宋体" w:hAnsi="宋体"/>
                <w:bCs/>
                <w:sz w:val="24"/>
                <w:lang w:val="en-US" w:eastAsia="zh-CN"/>
              </w:rPr>
              <w:t>航线</w:t>
            </w:r>
            <w:r>
              <w:rPr>
                <w:rFonts w:hint="eastAsia" w:ascii="宋体" w:hAnsi="宋体"/>
                <w:bCs/>
                <w:sz w:val="24"/>
              </w:rPr>
              <w:t>网络必要部分，对整体</w:t>
            </w:r>
            <w:r>
              <w:rPr>
                <w:rFonts w:hint="eastAsia" w:ascii="宋体" w:hAnsi="宋体"/>
                <w:bCs/>
                <w:sz w:val="24"/>
                <w:lang w:val="en-US" w:eastAsia="zh-CN"/>
              </w:rPr>
              <w:t>航班的</w:t>
            </w:r>
            <w:r>
              <w:rPr>
                <w:rFonts w:hint="eastAsia" w:ascii="宋体" w:hAnsi="宋体"/>
                <w:bCs/>
                <w:sz w:val="24"/>
              </w:rPr>
              <w:t>通达性至关重要。</w:t>
            </w:r>
          </w:p>
          <w:p w14:paraId="0BD912C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（2）应对市场不均衡性：许多航线去回程需求不均衡或季节性明显，如公司旺季用787飞新疆收益高，换季时停飞，而其他公司可能继续运营。</w:t>
            </w:r>
          </w:p>
          <w:p w14:paraId="7609A15A">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737-MAX是否正常引进？</w:t>
            </w:r>
          </w:p>
          <w:p w14:paraId="332652B8">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九元航空自购飞机引进后续会因为制造厂商原因有一些推迟。</w:t>
            </w:r>
          </w:p>
          <w:p w14:paraId="5972E87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明年运力ASK预期？</w:t>
            </w:r>
          </w:p>
          <w:p w14:paraId="34BB330B">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预计到明年年底，发动机问题将得到大幅改善。但关于能否彻底解决，目前尚无法给出肯定承诺，最终的谈判结果仍存在不确定性。这是全球性的供应链问题，并非单靠公司一家的谈判努力所能完全解决。公司的核心目标是实现问题的大幅改善。</w:t>
            </w:r>
          </w:p>
          <w:p w14:paraId="4C7FBA2B">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明年票价的预期？</w:t>
            </w:r>
          </w:p>
          <w:p w14:paraId="5E2FD4A2">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公司主基地所在的上海和广州</w:t>
            </w:r>
            <w:r>
              <w:rPr>
                <w:rFonts w:hint="eastAsia" w:ascii="宋体" w:hAnsi="宋体"/>
                <w:bCs/>
                <w:sz w:val="24"/>
                <w:lang w:val="en-US" w:eastAsia="zh-CN"/>
              </w:rPr>
              <w:t>是国内</w:t>
            </w:r>
            <w:r>
              <w:rPr>
                <w:rFonts w:hint="eastAsia" w:ascii="宋体" w:hAnsi="宋体"/>
                <w:bCs/>
                <w:sz w:val="24"/>
              </w:rPr>
              <w:t>经济最发达、地理位置最优越的区域</w:t>
            </w:r>
            <w:r>
              <w:rPr>
                <w:rFonts w:hint="eastAsia" w:ascii="宋体" w:hAnsi="宋体"/>
                <w:bCs/>
                <w:sz w:val="24"/>
                <w:lang w:val="en-US" w:eastAsia="zh-CN"/>
              </w:rPr>
              <w:t>之一</w:t>
            </w:r>
            <w:r>
              <w:rPr>
                <w:rFonts w:hint="eastAsia" w:ascii="宋体" w:hAnsi="宋体"/>
                <w:bCs/>
                <w:sz w:val="24"/>
              </w:rPr>
              <w:t>。基于此，其票价表现理应跑赢全国平均水平。</w:t>
            </w:r>
            <w:r>
              <w:rPr>
                <w:rFonts w:hint="eastAsia" w:ascii="宋体" w:hAnsi="宋体"/>
                <w:bCs/>
                <w:sz w:val="24"/>
                <w:lang w:val="en-US" w:eastAsia="zh-CN"/>
              </w:rPr>
              <w:t>公司</w:t>
            </w:r>
            <w:r>
              <w:rPr>
                <w:rFonts w:hint="eastAsia" w:ascii="宋体" w:hAnsi="宋体"/>
                <w:bCs/>
                <w:sz w:val="24"/>
              </w:rPr>
              <w:t>对核心市场的票价基本面拥有信心。</w:t>
            </w:r>
          </w:p>
          <w:p w14:paraId="4312CC36">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运力Q3同比收缩，明年运力投放计划？</w:t>
            </w:r>
          </w:p>
          <w:p w14:paraId="4EFA1C0F">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lang w:val="en-US" w:eastAsia="zh-CN"/>
              </w:rPr>
              <w:t>公司</w:t>
            </w:r>
            <w:r>
              <w:rPr>
                <w:rFonts w:hint="eastAsia" w:ascii="宋体" w:hAnsi="宋体"/>
                <w:bCs/>
                <w:sz w:val="24"/>
              </w:rPr>
              <w:t>的核心原则是将运力投向最高效的市场</w:t>
            </w:r>
            <w:r>
              <w:rPr>
                <w:rFonts w:hint="eastAsia" w:ascii="宋体" w:hAnsi="宋体"/>
                <w:bCs/>
                <w:sz w:val="24"/>
                <w:lang w:eastAsia="zh-CN"/>
              </w:rPr>
              <w:t>，</w:t>
            </w:r>
            <w:r>
              <w:rPr>
                <w:rFonts w:hint="eastAsia" w:ascii="宋体" w:hAnsi="宋体"/>
                <w:bCs/>
                <w:sz w:val="24"/>
              </w:rPr>
              <w:t>特别是国际方面，公司未来的运力投放重点将集中于以下方向：​</w:t>
            </w:r>
          </w:p>
          <w:p w14:paraId="3C19A24E">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1）欧洲航线：发展重点，公司计划丰富欧洲网络并论证第六个航点。对现有成功航线进行加密：雅典线因上海枢纽联程网络吸引中转客源（如台湾、日本）及爱琴海航空合作，提供延伸至希腊岛屿及欧洲其他地区的一票到底服务；赫尔辛基线以高效中转服务（最快1小时）获口碑；曼彻斯特线运营持续向好，季节性需求旺盛。</w:t>
            </w:r>
          </w:p>
          <w:p w14:paraId="73AC0440">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leftChars="200"/>
              <w:textAlignment w:val="auto"/>
              <w:rPr>
                <w:rFonts w:hint="eastAsia" w:ascii="宋体" w:hAnsi="宋体"/>
                <w:bCs/>
                <w:sz w:val="24"/>
              </w:rPr>
            </w:pPr>
            <w:r>
              <w:rPr>
                <w:rFonts w:hint="eastAsia" w:ascii="宋体" w:hAnsi="宋体"/>
                <w:bCs/>
                <w:sz w:val="24"/>
              </w:rPr>
              <w:t>（2）澳洲航线：新开航线，待南半球夏季旺季验证潜力。</w:t>
            </w:r>
          </w:p>
          <w:p w14:paraId="6D500E21">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（3）波动市场（如东南亚）：中泰航线因非商业因素流量下降，公司持灵活态度，由于中泰间航权开放，一旦市场环境好转，可随时恢复或增加运力。</w:t>
            </w:r>
          </w:p>
          <w:p w14:paraId="3AF29538">
            <w:pPr>
              <w:keepNext w:val="0"/>
              <w:keepLines w:val="0"/>
              <w:pageBreakBefore w:val="0"/>
              <w:widowControl w:val="0"/>
              <w:numPr>
                <w:numId w:val="0"/>
              </w:numPr>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rPr>
            </w:pPr>
            <w:r>
              <w:rPr>
                <w:rFonts w:hint="eastAsia" w:ascii="宋体" w:hAnsi="宋体"/>
                <w:bCs/>
                <w:sz w:val="24"/>
              </w:rPr>
              <w:t>国内航线调整：应对高铁竞争，公司计划将短程航线规避门槛从800公里提升至1000公里以内，引导客源至上海枢纽衔接洲际网络。温州市场为“枢纽辐射”典范，通过“温州-上海”航班汇集欧洲客源，经“一票到底”衔接米兰等欧洲航线。</w:t>
            </w:r>
          </w:p>
          <w:p w14:paraId="4DD55D9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hint="eastAsia" w:ascii="宋体" w:hAnsi="宋体"/>
                <w:b/>
                <w:sz w:val="24"/>
              </w:rPr>
            </w:pPr>
            <w:r>
              <w:rPr>
                <w:rFonts w:hint="eastAsia" w:ascii="宋体" w:hAnsi="宋体"/>
                <w:b/>
                <w:sz w:val="24"/>
              </w:rPr>
              <w:t>787机队今年盈利贡献情况？</w:t>
            </w:r>
          </w:p>
          <w:p w14:paraId="56C1A15F">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1）核心运力与盈利贡献：787机队运营平稳强劲，5个欧洲航点大部分成熟，客座率与票价持续攀升；上海-布鲁塞尔等培育期航线经网络优化与合作后经营改善。公司亦正论证第六个欧洲航点。A320neo机队无法全部运行，787全面到位弥补运力缺口，在市场占有率、航班量及盈利上提供决定性支持。</w:t>
            </w:r>
          </w:p>
          <w:p w14:paraId="559EE62D">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（2）业绩影响分析：公司前三季度业绩同比稍弱，核心原因为A320NEO运力损失。旺季发动机问题冲击明显，787盈利与320运力亏损形成“此消彼长”，稳定公司整体大盘。</w:t>
            </w:r>
          </w:p>
          <w:p w14:paraId="78519B77">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（3）品牌提升作用：787运营提升“吉祥航空”品牌形象，浦东、虹桥贵宾室（尤其浦东国际贵宾室特色服务）获旅客认可，强化全服务定位。</w:t>
            </w:r>
          </w:p>
          <w:p w14:paraId="2FAB8E4C">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（4）倒逼管理能力升级：宽体机运营倒逼公司运行管理、销售体系及后勤保障能力提升，促进团队专业化水平提高，为长远发展奠定基础。</w:t>
            </w:r>
          </w:p>
          <w:p w14:paraId="43AC7882">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九元航空的盈利情况？上半年有10个点盈利增长。</w:t>
            </w:r>
          </w:p>
          <w:p w14:paraId="63D8E6FA">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九元航空作为低成本航空公司经营模式，主基地设于广州，地理位置优越。虽飞机增速有限，但其运行效率及含金量将持续攀升，抗风险能力亦显著增强。在当前消费形势下，低成本航空公司市场前景良好。预计2027年及2028年后，九元航空将保持每年5至6架飞机的引进规模，对未来发展持续看好。</w:t>
            </w:r>
          </w:p>
          <w:p w14:paraId="0CA3CDBA">
            <w:pPr>
              <w:keepNext w:val="0"/>
              <w:keepLines w:val="0"/>
              <w:pageBreakBefore w:val="0"/>
              <w:widowControl w:val="0"/>
              <w:numPr>
                <w:ilvl w:val="0"/>
                <w:numId w:val="1"/>
              </w:numPr>
              <w:kinsoku/>
              <w:wordWrap/>
              <w:overflowPunct/>
              <w:topLinePunct w:val="0"/>
              <w:autoSpaceDE w:val="0"/>
              <w:autoSpaceDN w:val="0"/>
              <w:bidi w:val="0"/>
              <w:adjustRightInd/>
              <w:snapToGrid/>
              <w:spacing w:before="156" w:beforeLines="50"/>
              <w:ind w:left="0" w:leftChars="0" w:firstLine="482" w:firstLineChars="200"/>
              <w:textAlignment w:val="auto"/>
              <w:rPr>
                <w:rFonts w:ascii="宋体" w:hAnsi="宋体"/>
                <w:b/>
                <w:sz w:val="24"/>
              </w:rPr>
            </w:pPr>
            <w:r>
              <w:rPr>
                <w:rFonts w:hint="eastAsia" w:ascii="宋体" w:hAnsi="宋体"/>
                <w:b/>
                <w:sz w:val="24"/>
              </w:rPr>
              <w:t>公司今年整体运力供给增速偏低，主要受A320发动机问题及飞机引进数量较少两方面影响。明后年飞机引进数量具体情况是？</w:t>
            </w:r>
          </w:p>
          <w:p w14:paraId="47186500">
            <w:pPr>
              <w:keepNext w:val="0"/>
              <w:keepLines w:val="0"/>
              <w:pageBreakBefore w:val="0"/>
              <w:widowControl w:val="0"/>
              <w:kinsoku/>
              <w:wordWrap/>
              <w:overflowPunct/>
              <w:topLinePunct w:val="0"/>
              <w:autoSpaceDE w:val="0"/>
              <w:autoSpaceDN w:val="0"/>
              <w:bidi w:val="0"/>
              <w:adjustRightInd/>
              <w:snapToGrid/>
              <w:spacing w:before="156" w:beforeLines="50"/>
              <w:ind w:firstLine="480" w:firstLineChars="200"/>
              <w:textAlignment w:val="auto"/>
              <w:rPr>
                <w:rFonts w:hint="eastAsia" w:ascii="宋体" w:hAnsi="宋体"/>
                <w:bCs/>
                <w:sz w:val="24"/>
                <w:lang w:val="en-US" w:eastAsia="zh-CN"/>
              </w:rPr>
            </w:pPr>
            <w:r>
              <w:rPr>
                <w:rFonts w:hint="eastAsia" w:ascii="宋体" w:hAnsi="宋体"/>
                <w:bCs/>
                <w:sz w:val="24"/>
                <w:lang w:val="en-US" w:eastAsia="zh-CN"/>
              </w:rPr>
              <w:t>当前公司飞机引进进度迟缓，系多种宏观因素共同作用所致：目前波音飞机存在交付延迟情形，空客飞机公司暂未有新的订单。</w:t>
            </w:r>
          </w:p>
        </w:tc>
      </w:tr>
      <w:tr w14:paraId="70FA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DF6A79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224CF6B2">
            <w:pPr>
              <w:spacing w:line="420" w:lineRule="exact"/>
              <w:rPr>
                <w:bCs/>
                <w:iCs/>
                <w:color w:val="000000"/>
                <w:sz w:val="24"/>
              </w:rPr>
            </w:pPr>
            <w:r>
              <w:rPr>
                <w:rFonts w:hint="eastAsia"/>
                <w:bCs/>
                <w:iCs/>
                <w:color w:val="000000"/>
                <w:sz w:val="24"/>
              </w:rPr>
              <w:t>无</w:t>
            </w:r>
          </w:p>
        </w:tc>
      </w:tr>
      <w:tr w14:paraId="01E2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0AB8ABA">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1FF945E6">
            <w:pPr>
              <w:spacing w:line="420" w:lineRule="exact"/>
              <w:rPr>
                <w:rFonts w:hint="default" w:eastAsia="宋体"/>
                <w:bCs/>
                <w:iCs/>
                <w:color w:val="000000"/>
                <w:sz w:val="24"/>
                <w:lang w:val="en-US" w:eastAsia="zh-CN"/>
              </w:rPr>
            </w:pPr>
            <w:r>
              <w:rPr>
                <w:rFonts w:hint="eastAsia"/>
                <w:bCs/>
                <w:iCs/>
                <w:color w:val="000000"/>
                <w:sz w:val="24"/>
              </w:rPr>
              <w:t>2025-</w:t>
            </w:r>
            <w:r>
              <w:rPr>
                <w:rFonts w:hint="eastAsia"/>
                <w:bCs/>
                <w:iCs/>
                <w:color w:val="000000"/>
                <w:sz w:val="24"/>
                <w:lang w:val="en-US" w:eastAsia="zh-CN"/>
              </w:rPr>
              <w:t>10</w:t>
            </w:r>
            <w:r>
              <w:rPr>
                <w:rFonts w:hint="eastAsia"/>
                <w:bCs/>
                <w:iCs/>
                <w:color w:val="000000"/>
                <w:sz w:val="24"/>
              </w:rPr>
              <w:t>-</w:t>
            </w:r>
            <w:r>
              <w:rPr>
                <w:rFonts w:hint="eastAsia"/>
                <w:bCs/>
                <w:iCs/>
                <w:color w:val="000000"/>
                <w:sz w:val="24"/>
                <w:lang w:val="en-US" w:eastAsia="zh-CN"/>
              </w:rPr>
              <w:t>31</w:t>
            </w:r>
          </w:p>
        </w:tc>
      </w:tr>
    </w:tbl>
    <w:p w14:paraId="2798F64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4D61">
    <w:pPr>
      <w:pStyle w:val="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D1AA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0D1AA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5D56">
    <w:pPr>
      <w:pStyle w:val="3"/>
      <w:pBdr>
        <w:bottom w:val="none" w:color="auto" w:sz="0" w:space="0"/>
      </w:pBdr>
      <w:jc w:val="left"/>
    </w:pPr>
    <w:r>
      <w:drawing>
        <wp:anchor distT="0" distB="0" distL="114300" distR="114300" simplePos="0" relativeHeight="251659264" behindDoc="1" locked="0" layoutInCell="1" allowOverlap="1">
          <wp:simplePos x="0" y="0"/>
          <wp:positionH relativeFrom="column">
            <wp:posOffset>-96520</wp:posOffset>
          </wp:positionH>
          <wp:positionV relativeFrom="paragraph">
            <wp:posOffset>-201295</wp:posOffset>
          </wp:positionV>
          <wp:extent cx="1853565" cy="609600"/>
          <wp:effectExtent l="0" t="0" r="13335" b="0"/>
          <wp:wrapTight wrapText="bothSides">
            <wp:wrapPolygon>
              <wp:start x="2442" y="2025"/>
              <wp:lineTo x="1110" y="4050"/>
              <wp:lineTo x="222" y="8100"/>
              <wp:lineTo x="222" y="14175"/>
              <wp:lineTo x="2442" y="20250"/>
              <wp:lineTo x="4218" y="20250"/>
              <wp:lineTo x="15984" y="18900"/>
              <wp:lineTo x="21089" y="16875"/>
              <wp:lineTo x="21311" y="4050"/>
              <wp:lineTo x="19535" y="3375"/>
              <wp:lineTo x="4218" y="2025"/>
              <wp:lineTo x="2442" y="2025"/>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853565"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B25BD"/>
    <w:multiLevelType w:val="singleLevel"/>
    <w:tmpl w:val="25AB25BD"/>
    <w:lvl w:ilvl="0" w:tentative="0">
      <w:start w:val="1"/>
      <w:numFmt w:val="decimal"/>
      <w:suff w:val="nothing"/>
      <w:lvlText w:val="（%1）"/>
      <w:lvlJc w:val="left"/>
    </w:lvl>
  </w:abstractNum>
  <w:abstractNum w:abstractNumId="1">
    <w:nsid w:val="3BB2E462"/>
    <w:multiLevelType w:val="singleLevel"/>
    <w:tmpl w:val="3BB2E462"/>
    <w:lvl w:ilvl="0" w:tentative="0">
      <w:start w:val="1"/>
      <w:numFmt w:val="decimal"/>
      <w:suff w:val="nothing"/>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WQ0YWVlOTg5YzAyMDNjZWY4NTk4NDBiYTZhODIifQ=="/>
  </w:docVars>
  <w:rsids>
    <w:rsidRoot w:val="006861C7"/>
    <w:rsid w:val="000268C0"/>
    <w:rsid w:val="000363B5"/>
    <w:rsid w:val="000375D7"/>
    <w:rsid w:val="00043015"/>
    <w:rsid w:val="00046DDE"/>
    <w:rsid w:val="00047EB9"/>
    <w:rsid w:val="00056C70"/>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B7FF4"/>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D5224"/>
    <w:rsid w:val="00CF565C"/>
    <w:rsid w:val="00D016A3"/>
    <w:rsid w:val="00D512E3"/>
    <w:rsid w:val="00D602C9"/>
    <w:rsid w:val="00DA26A9"/>
    <w:rsid w:val="00DB01FF"/>
    <w:rsid w:val="00DC7778"/>
    <w:rsid w:val="00DE7391"/>
    <w:rsid w:val="00DF2DB5"/>
    <w:rsid w:val="00DF6560"/>
    <w:rsid w:val="00DF713F"/>
    <w:rsid w:val="00E04CC0"/>
    <w:rsid w:val="00E136FF"/>
    <w:rsid w:val="00E32528"/>
    <w:rsid w:val="00E35F26"/>
    <w:rsid w:val="00E46408"/>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201B"/>
    <w:rsid w:val="00F43465"/>
    <w:rsid w:val="00F45475"/>
    <w:rsid w:val="00F64E72"/>
    <w:rsid w:val="00F70C7D"/>
    <w:rsid w:val="00F9272E"/>
    <w:rsid w:val="00F97743"/>
    <w:rsid w:val="00FA6DAF"/>
    <w:rsid w:val="00FC6884"/>
    <w:rsid w:val="00FE62F3"/>
    <w:rsid w:val="00FF71D2"/>
    <w:rsid w:val="02BE598D"/>
    <w:rsid w:val="05694D83"/>
    <w:rsid w:val="12174F59"/>
    <w:rsid w:val="136E0BA9"/>
    <w:rsid w:val="15D171CD"/>
    <w:rsid w:val="18827DE5"/>
    <w:rsid w:val="19BC5E34"/>
    <w:rsid w:val="1B2418A5"/>
    <w:rsid w:val="1BED28E8"/>
    <w:rsid w:val="1E0248C8"/>
    <w:rsid w:val="1FBFC074"/>
    <w:rsid w:val="201C5FB0"/>
    <w:rsid w:val="20361F29"/>
    <w:rsid w:val="22982404"/>
    <w:rsid w:val="22E91FFA"/>
    <w:rsid w:val="2A645210"/>
    <w:rsid w:val="2AA23234"/>
    <w:rsid w:val="2B51698E"/>
    <w:rsid w:val="2E246D3F"/>
    <w:rsid w:val="2ECE0AB9"/>
    <w:rsid w:val="2FD45D39"/>
    <w:rsid w:val="354F3255"/>
    <w:rsid w:val="36FB9E1F"/>
    <w:rsid w:val="385D25D8"/>
    <w:rsid w:val="3BFA3B96"/>
    <w:rsid w:val="3CEF3472"/>
    <w:rsid w:val="3EFF16E9"/>
    <w:rsid w:val="3F075E88"/>
    <w:rsid w:val="3F3A338E"/>
    <w:rsid w:val="45742073"/>
    <w:rsid w:val="458D763F"/>
    <w:rsid w:val="46FA2178"/>
    <w:rsid w:val="4C1004D1"/>
    <w:rsid w:val="534D2F47"/>
    <w:rsid w:val="54B131E9"/>
    <w:rsid w:val="56972DCF"/>
    <w:rsid w:val="5E36214F"/>
    <w:rsid w:val="62FF0AFC"/>
    <w:rsid w:val="64BD1B8A"/>
    <w:rsid w:val="64EC34AD"/>
    <w:rsid w:val="656D50AE"/>
    <w:rsid w:val="6B650D55"/>
    <w:rsid w:val="74F87447"/>
    <w:rsid w:val="77CF73AC"/>
    <w:rsid w:val="78370476"/>
    <w:rsid w:val="78FF0116"/>
    <w:rsid w:val="7E4016C2"/>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1178</Words>
  <Characters>1261</Characters>
  <Lines>6</Lines>
  <Paragraphs>1</Paragraphs>
  <TotalTime>39</TotalTime>
  <ScaleCrop>false</ScaleCrop>
  <LinksUpToDate>false</LinksUpToDate>
  <CharactersWithSpaces>1399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WPS_1555414500</cp:lastModifiedBy>
  <cp:lastPrinted>2014-02-21T05:34:00Z</cp:lastPrinted>
  <dcterms:modified xsi:type="dcterms:W3CDTF">2025-10-31T09:19:38Z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0E5C0A07EC8E4FF3900A3AAD2B288CB8_13</vt:lpwstr>
  </property>
  <property fmtid="{D5CDD505-2E9C-101B-9397-08002B2CF9AE}" pid="4" name="KSOTemplateDocerSaveRecord">
    <vt:lpwstr>eyJoZGlkIjoiNjc4OWQ0YWVlOTg5YzAyMDNjZWY4NTk4NDBiYTZhODIiLCJ1c2VySWQiOiI1MjgxMTQ1NzcifQ==</vt:lpwstr>
  </property>
</Properties>
</file>