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7F7B6" w14:textId="6A36FB12" w:rsidR="00E36593" w:rsidRDefault="00777C97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bCs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601615                         </w:t>
      </w:r>
      <w:r w:rsidR="00833A51">
        <w:rPr>
          <w:rFonts w:hint="eastAsia"/>
          <w:color w:val="000000"/>
          <w:sz w:val="24"/>
        </w:rPr>
        <w:t xml:space="preserve">  </w:t>
      </w:r>
      <w:r>
        <w:rPr>
          <w:color w:val="000000"/>
          <w:sz w:val="24"/>
        </w:rPr>
        <w:t xml:space="preserve">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明阳智能</w:t>
      </w:r>
    </w:p>
    <w:p w14:paraId="2D3A2344" w14:textId="77777777" w:rsidR="0012399C" w:rsidRDefault="00777C97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明阳智慧能源集团股份公司</w:t>
      </w:r>
    </w:p>
    <w:p w14:paraId="2326F290" w14:textId="567A4F1E" w:rsidR="00E36593" w:rsidRDefault="00777C97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283431F1" w14:textId="34E946CE" w:rsidR="00E36593" w:rsidRDefault="00777C97">
      <w:pPr>
        <w:spacing w:line="400" w:lineRule="exact"/>
        <w:rPr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    </w:t>
      </w:r>
      <w:r w:rsidR="0012399C" w:rsidRPr="0012399C">
        <w:rPr>
          <w:rFonts w:ascii="宋体" w:hAnsi="宋体" w:hint="eastAsia"/>
          <w:bCs/>
          <w:iCs/>
          <w:color w:val="000000"/>
          <w:sz w:val="24"/>
        </w:rPr>
        <w:t>编号：2025-00</w:t>
      </w:r>
      <w:r w:rsidR="00FC08C2">
        <w:rPr>
          <w:rFonts w:ascii="宋体" w:hAnsi="宋体" w:hint="eastAsia"/>
          <w:bCs/>
          <w:iCs/>
          <w:color w:val="000000"/>
          <w:sz w:val="24"/>
        </w:rPr>
        <w:t>6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E36593" w14:paraId="05D33360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CA3CB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63D49A41" w14:textId="77777777" w:rsidR="00E36593" w:rsidRDefault="00E3659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A506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0E7DC939" w14:textId="222FCC12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 w:rsidR="00B16F86"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0A9D54DF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50CD9539" w14:textId="77777777" w:rsidR="00E36593" w:rsidRDefault="00777C97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79E29DF8" w14:textId="66B9D702" w:rsidR="00E36593" w:rsidRDefault="00B16F86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（</w:t>
            </w:r>
            <w:r>
              <w:rPr>
                <w:rFonts w:hAnsi="宋体" w:hint="eastAsia"/>
                <w:kern w:val="0"/>
                <w:sz w:val="24"/>
                <w:u w:val="single"/>
              </w:rPr>
              <w:t>业绩交流会</w:t>
            </w:r>
            <w:r>
              <w:rPr>
                <w:rFonts w:hAnsi="宋体"/>
                <w:kern w:val="0"/>
                <w:sz w:val="24"/>
                <w:u w:val="single"/>
              </w:rPr>
              <w:t>）</w:t>
            </w:r>
          </w:p>
        </w:tc>
      </w:tr>
      <w:tr w:rsidR="00E36593" w14:paraId="4E50EC4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9C28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5971" w14:textId="3D06173A" w:rsidR="00E36593" w:rsidRDefault="00B16F86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长江证券、华创证券、东吴证券</w:t>
            </w:r>
            <w:r w:rsidR="00B52F62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、财通证券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摩根士丹利亞洲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bCs/>
                <w:iCs/>
                <w:color w:val="000000"/>
                <w:sz w:val="24"/>
                <w:lang w:val="en-GB"/>
              </w:rPr>
              <w:t>UBS AG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博时基金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渤海证券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东北证券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东方证券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富蘭克林投信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光大理财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广发基金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国海证券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国金证券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国投证券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国信证券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proofErr w:type="gramStart"/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國</w:t>
            </w:r>
            <w:proofErr w:type="gramEnd"/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泰君安</w:t>
            </w:r>
            <w:proofErr w:type="gramStart"/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國</w:t>
            </w:r>
            <w:proofErr w:type="gramEnd"/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際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海通证券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花旗环球金融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华宝基金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华福证券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华泰证券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辉瑞富投资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汇</w:t>
            </w:r>
            <w:proofErr w:type="gramStart"/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丰晋信</w:t>
            </w:r>
            <w:proofErr w:type="gramEnd"/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汇华理财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民生证券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摩根大通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南方基金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宁波银行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平安基金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、</w:t>
            </w:r>
            <w:r w:rsidR="00F4592F" w:rsidRP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瑞银期货</w:t>
            </w:r>
            <w:r w:rsidR="00F4592F">
              <w:rPr>
                <w:rFonts w:hint="eastAsia"/>
                <w:bCs/>
                <w:iCs/>
                <w:color w:val="000000"/>
                <w:sz w:val="24"/>
                <w:lang w:val="en-GB"/>
              </w:rPr>
              <w:t>等</w:t>
            </w:r>
          </w:p>
        </w:tc>
      </w:tr>
      <w:tr w:rsidR="00E36593" w14:paraId="08B18AD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B1E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8545" w14:textId="7A90760F" w:rsidR="00E36593" w:rsidRDefault="00777C9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 w:rsidR="00B16F86">
              <w:rPr>
                <w:rFonts w:hint="eastAsia"/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 w:rsidR="00B16F86">
              <w:rPr>
                <w:rFonts w:hint="eastAsia"/>
                <w:bCs/>
                <w:iCs/>
                <w:color w:val="000000"/>
                <w:sz w:val="24"/>
              </w:rPr>
              <w:t>31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</w:t>
            </w:r>
            <w:r w:rsidR="00B16F86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:00~1</w:t>
            </w:r>
            <w:r w:rsidR="00B16F86">
              <w:rPr>
                <w:rFonts w:hint="eastAsia"/>
                <w:bCs/>
                <w:iCs/>
                <w:color w:val="000000"/>
                <w:sz w:val="24"/>
              </w:rPr>
              <w:t>6</w:t>
            </w:r>
            <w:r>
              <w:rPr>
                <w:bCs/>
                <w:iCs/>
                <w:color w:val="000000"/>
                <w:sz w:val="24"/>
              </w:rPr>
              <w:t>:00</w:t>
            </w:r>
          </w:p>
        </w:tc>
      </w:tr>
      <w:tr w:rsidR="00E36593" w14:paraId="29D34D4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8391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0D04" w14:textId="77DF2CA3" w:rsidR="00E36593" w:rsidRDefault="00B16F86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线上</w:t>
            </w:r>
          </w:p>
        </w:tc>
      </w:tr>
      <w:tr w:rsidR="00E36593" w14:paraId="46C0E0A4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D217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F42C" w14:textId="4626F20E" w:rsidR="00E36593" w:rsidRDefault="00777C97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首席财务官</w:t>
            </w:r>
            <w:r w:rsidR="00546465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房猛</w:t>
            </w:r>
          </w:p>
          <w:p w14:paraId="5B2C1F7D" w14:textId="35D51562" w:rsidR="00E36593" w:rsidRDefault="00A558D6">
            <w:pPr>
              <w:spacing w:line="420" w:lineRule="exact"/>
              <w:rPr>
                <w:rFonts w:ascii="宋体" w:hAnsi="宋体" w:hint="eastAsia"/>
                <w:bCs/>
                <w:sz w:val="24"/>
              </w:rPr>
            </w:pPr>
            <w:r w:rsidRPr="00A558D6">
              <w:rPr>
                <w:rFonts w:ascii="宋体" w:hAnsi="宋体" w:hint="eastAsia"/>
                <w:bCs/>
                <w:sz w:val="24"/>
              </w:rPr>
              <w:t>副总裁兼董事会秘书</w:t>
            </w:r>
            <w:r w:rsidR="00546465"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王成奎</w:t>
            </w:r>
          </w:p>
        </w:tc>
      </w:tr>
      <w:tr w:rsidR="00E36593" w14:paraId="035D005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26F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1973EAE1" w14:textId="77777777" w:rsidR="00E36593" w:rsidRDefault="00E3659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BA3" w14:textId="77777777" w:rsidR="00E36593" w:rsidRDefault="00777C97" w:rsidP="00117B9E">
            <w:pPr>
              <w:spacing w:beforeLines="50" w:before="156" w:line="460" w:lineRule="exact"/>
              <w:ind w:firstLineChars="176" w:firstLine="424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61E3CD50" w14:textId="77777777" w:rsidR="00B52F62" w:rsidRPr="00B52F62" w:rsidRDefault="00B52F62" w:rsidP="00B52F62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</w:t>
            </w:r>
            <w:r w:rsidRPr="00B52F62">
              <w:rPr>
                <w:rFonts w:ascii="宋体" w:hAnsi="宋体" w:hint="eastAsia"/>
                <w:sz w:val="24"/>
                <w:szCs w:val="24"/>
              </w:rPr>
              <w:t>公司上半年各个业务盈利能力变化情况？风机毛利率目前是什么水平？电站转让和发电的盈利能力是否有下降？</w:t>
            </w:r>
          </w:p>
          <w:p w14:paraId="727C2B2D" w14:textId="20D908B5" w:rsidR="00E36593" w:rsidRDefault="00FC08C2" w:rsidP="00B52F62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公司</w:t>
            </w:r>
            <w:r w:rsidR="00B52F62" w:rsidRPr="00B52F62">
              <w:rPr>
                <w:rFonts w:ascii="宋体" w:hAnsi="宋体" w:hint="eastAsia"/>
                <w:sz w:val="24"/>
                <w:szCs w:val="24"/>
              </w:rPr>
              <w:t>202</w:t>
            </w:r>
            <w:r>
              <w:rPr>
                <w:rFonts w:ascii="宋体" w:hAnsi="宋体" w:hint="eastAsia"/>
                <w:sz w:val="24"/>
                <w:szCs w:val="24"/>
              </w:rPr>
              <w:t>5年前三季度</w:t>
            </w:r>
            <w:r w:rsidR="00B52F62" w:rsidRPr="00B52F62">
              <w:rPr>
                <w:rFonts w:ascii="宋体" w:hAnsi="宋体" w:hint="eastAsia"/>
                <w:sz w:val="24"/>
                <w:szCs w:val="24"/>
              </w:rPr>
              <w:t>综合毛利率11.47%；风机制造板块毛利率同比和环比均有改善，目前单独三季度风机制造毛利率接近盈亏平衡线附近；电站产品销售毛利率略有下降，目前</w:t>
            </w:r>
            <w:proofErr w:type="gramStart"/>
            <w:r w:rsidR="00B52F62" w:rsidRPr="00B52F62">
              <w:rPr>
                <w:rFonts w:ascii="宋体" w:hAnsi="宋体" w:hint="eastAsia"/>
                <w:sz w:val="24"/>
                <w:szCs w:val="24"/>
              </w:rPr>
              <w:t>看下降</w:t>
            </w:r>
            <w:proofErr w:type="gramEnd"/>
            <w:r w:rsidR="00B52F62" w:rsidRPr="00B52F62">
              <w:rPr>
                <w:rFonts w:ascii="宋体" w:hAnsi="宋体" w:hint="eastAsia"/>
                <w:sz w:val="24"/>
                <w:szCs w:val="24"/>
              </w:rPr>
              <w:t>幅度不大，电站收益主要受电站自身盈利能力的影响，公司之前转让的电站盈利能力较好。发电收入毛利率有所下降，主要由于公司</w:t>
            </w:r>
            <w:r w:rsidR="00210C44">
              <w:rPr>
                <w:rFonts w:ascii="宋体" w:hAnsi="宋体" w:hint="eastAsia"/>
                <w:sz w:val="24"/>
                <w:szCs w:val="24"/>
              </w:rPr>
              <w:t>上半年</w:t>
            </w:r>
            <w:r w:rsidR="00B52F62" w:rsidRPr="00B52F62">
              <w:rPr>
                <w:rFonts w:ascii="宋体" w:hAnsi="宋体" w:hint="eastAsia"/>
                <w:sz w:val="24"/>
                <w:szCs w:val="24"/>
              </w:rPr>
              <w:t>运营的</w:t>
            </w:r>
            <w:r w:rsidR="00210C44">
              <w:rPr>
                <w:rFonts w:ascii="宋体" w:hAnsi="宋体" w:hint="eastAsia"/>
                <w:sz w:val="24"/>
                <w:szCs w:val="24"/>
              </w:rPr>
              <w:t>其中一个</w:t>
            </w:r>
            <w:r w:rsidR="00B52F62" w:rsidRPr="00B52F62">
              <w:rPr>
                <w:rFonts w:ascii="宋体" w:hAnsi="宋体" w:hint="eastAsia"/>
                <w:sz w:val="24"/>
                <w:szCs w:val="24"/>
              </w:rPr>
              <w:t>电站电网改造施工导致长时间停电，同时</w:t>
            </w:r>
            <w:r w:rsidR="00210C44">
              <w:rPr>
                <w:rFonts w:ascii="宋体" w:hAnsi="宋体" w:hint="eastAsia"/>
                <w:sz w:val="24"/>
                <w:szCs w:val="24"/>
              </w:rPr>
              <w:t>三季度</w:t>
            </w:r>
            <w:r w:rsidR="00B52F62" w:rsidRPr="00B52F62">
              <w:rPr>
                <w:rFonts w:ascii="宋体" w:hAnsi="宋体" w:hint="eastAsia"/>
                <w:sz w:val="24"/>
                <w:szCs w:val="24"/>
              </w:rPr>
              <w:t>是行业传统小风季，单季度发电小时数降低，</w:t>
            </w:r>
            <w:r w:rsidR="00210C44">
              <w:rPr>
                <w:rFonts w:ascii="宋体" w:hAnsi="宋体" w:hint="eastAsia"/>
                <w:sz w:val="24"/>
                <w:szCs w:val="24"/>
              </w:rPr>
              <w:t>影响了整体</w:t>
            </w:r>
            <w:r w:rsidR="00B52F62" w:rsidRPr="00B52F62">
              <w:rPr>
                <w:rFonts w:ascii="宋体" w:hAnsi="宋体" w:hint="eastAsia"/>
                <w:sz w:val="24"/>
                <w:szCs w:val="24"/>
              </w:rPr>
              <w:t>电站毛利率。</w:t>
            </w:r>
          </w:p>
          <w:p w14:paraId="132D6925" w14:textId="77777777" w:rsidR="00210C44" w:rsidRDefault="00210C44" w:rsidP="00B52F62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</w:p>
          <w:p w14:paraId="7A42C8B2" w14:textId="3E04C466" w:rsidR="00210C44" w:rsidRPr="00210C44" w:rsidRDefault="00210C44" w:rsidP="00210C44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 w:rsidRPr="00210C44">
              <w:rPr>
                <w:rFonts w:ascii="宋体" w:hAnsi="宋体" w:hint="eastAsia"/>
                <w:sz w:val="24"/>
                <w:szCs w:val="24"/>
              </w:rPr>
              <w:t>、公司对于今年全行风机招标和装机规模的判断？明年装机量的预期情况如何？</w:t>
            </w:r>
          </w:p>
          <w:p w14:paraId="60DA72F2" w14:textId="0A1643B8" w:rsidR="00210C44" w:rsidRPr="00210C44" w:rsidRDefault="00210C44" w:rsidP="00210C44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210C44">
              <w:rPr>
                <w:rFonts w:ascii="宋体" w:hAnsi="宋体" w:hint="eastAsia"/>
                <w:sz w:val="24"/>
                <w:szCs w:val="24"/>
              </w:rPr>
              <w:t>据</w:t>
            </w:r>
            <w:r w:rsidR="00AA3D75">
              <w:rPr>
                <w:rFonts w:ascii="宋体" w:hAnsi="宋体" w:hint="eastAsia"/>
                <w:sz w:val="24"/>
                <w:szCs w:val="24"/>
              </w:rPr>
              <w:t>行业</w:t>
            </w:r>
            <w:r>
              <w:rPr>
                <w:rFonts w:ascii="宋体" w:hAnsi="宋体" w:hint="eastAsia"/>
                <w:sz w:val="24"/>
                <w:szCs w:val="24"/>
              </w:rPr>
              <w:t>不完全</w:t>
            </w:r>
            <w:r w:rsidRPr="00210C44">
              <w:rPr>
                <w:rFonts w:ascii="宋体" w:hAnsi="宋体" w:hint="eastAsia"/>
                <w:sz w:val="24"/>
                <w:szCs w:val="24"/>
              </w:rPr>
              <w:t>统计，2025年1-9月国内招标规模</w:t>
            </w:r>
            <w:r w:rsidR="00AA3D75">
              <w:rPr>
                <w:rFonts w:ascii="宋体" w:hAnsi="宋体" w:hint="eastAsia"/>
                <w:sz w:val="24"/>
                <w:szCs w:val="24"/>
              </w:rPr>
              <w:t>约</w:t>
            </w:r>
            <w:r w:rsidRPr="00210C44">
              <w:rPr>
                <w:rFonts w:ascii="宋体" w:hAnsi="宋体" w:hint="eastAsia"/>
                <w:sz w:val="24"/>
                <w:szCs w:val="24"/>
              </w:rPr>
              <w:t>1</w:t>
            </w:r>
            <w:r w:rsidR="00AA3D75">
              <w:rPr>
                <w:rFonts w:ascii="宋体" w:hAnsi="宋体" w:hint="eastAsia"/>
                <w:sz w:val="24"/>
                <w:szCs w:val="24"/>
              </w:rPr>
              <w:t>20</w:t>
            </w:r>
            <w:r w:rsidRPr="00210C44">
              <w:rPr>
                <w:rFonts w:ascii="宋体" w:hAnsi="宋体" w:hint="eastAsia"/>
                <w:sz w:val="24"/>
                <w:szCs w:val="24"/>
              </w:rPr>
              <w:t>GW，风电行业招标规模持续增长，行业维持高景气度。</w:t>
            </w:r>
          </w:p>
          <w:p w14:paraId="5FE68FD4" w14:textId="13309AA0" w:rsidR="00210C44" w:rsidRPr="00210C44" w:rsidRDefault="00210C44" w:rsidP="00210C44">
            <w:pPr>
              <w:pStyle w:val="Style6"/>
              <w:spacing w:line="460" w:lineRule="exact"/>
              <w:ind w:leftChars="-1" w:left="-2" w:firstLine="480"/>
              <w:rPr>
                <w:rFonts w:ascii="宋体" w:hAnsi="宋体" w:hint="eastAsia"/>
                <w:sz w:val="24"/>
                <w:szCs w:val="24"/>
              </w:rPr>
            </w:pPr>
            <w:r w:rsidRPr="00210C44"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 w:hint="eastAsia"/>
                <w:sz w:val="24"/>
                <w:szCs w:val="24"/>
              </w:rPr>
              <w:t>近日</w:t>
            </w:r>
            <w:r w:rsidRPr="00210C44">
              <w:rPr>
                <w:rFonts w:ascii="宋体" w:hAnsi="宋体" w:hint="eastAsia"/>
                <w:sz w:val="24"/>
                <w:szCs w:val="24"/>
              </w:rPr>
              <w:t>北京国际风能大会上，全球1000多家风能企业代表共同审议并通过了《风能北京宣言2.0》，明确提出：在“十五五”期间，每年新增风电装机容量不低于1.2亿千瓦，其中海上</w:t>
            </w:r>
            <w:proofErr w:type="gramStart"/>
            <w:r w:rsidRPr="00210C44">
              <w:rPr>
                <w:rFonts w:ascii="宋体" w:hAnsi="宋体" w:hint="eastAsia"/>
                <w:sz w:val="24"/>
                <w:szCs w:val="24"/>
              </w:rPr>
              <w:t>风电年新增</w:t>
            </w:r>
            <w:proofErr w:type="gramEnd"/>
            <w:r w:rsidRPr="00210C44">
              <w:rPr>
                <w:rFonts w:ascii="宋体" w:hAnsi="宋体" w:hint="eastAsia"/>
                <w:sz w:val="24"/>
                <w:szCs w:val="24"/>
              </w:rPr>
              <w:t>装机不低于1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 w:rsidRPr="00210C44">
              <w:rPr>
                <w:rFonts w:ascii="宋体" w:hAnsi="宋体" w:hint="eastAsia"/>
                <w:sz w:val="24"/>
                <w:szCs w:val="24"/>
              </w:rPr>
              <w:t>500万千瓦。2030年，中国风电累计装机容量达到13亿千瓦，2035年突破20亿千瓦，并在2060年实现50亿千瓦。这一宣言提到的目标</w:t>
            </w:r>
            <w:r w:rsidR="00C442C1">
              <w:rPr>
                <w:rFonts w:ascii="宋体" w:hAnsi="宋体" w:hint="eastAsia"/>
                <w:sz w:val="24"/>
                <w:szCs w:val="24"/>
              </w:rPr>
              <w:t>，</w:t>
            </w:r>
            <w:proofErr w:type="gramStart"/>
            <w:r w:rsidRPr="00210C44">
              <w:rPr>
                <w:rFonts w:ascii="宋体" w:hAnsi="宋体" w:hint="eastAsia"/>
                <w:sz w:val="24"/>
                <w:szCs w:val="24"/>
              </w:rPr>
              <w:t>公司从消纳</w:t>
            </w:r>
            <w:proofErr w:type="gramEnd"/>
            <w:r w:rsidRPr="00210C44">
              <w:rPr>
                <w:rFonts w:ascii="宋体" w:hAnsi="宋体" w:hint="eastAsia"/>
                <w:sz w:val="24"/>
                <w:szCs w:val="24"/>
              </w:rPr>
              <w:t>、风场资源等角度评估</w:t>
            </w:r>
            <w:r>
              <w:rPr>
                <w:rFonts w:ascii="宋体" w:hAnsi="宋体" w:hint="eastAsia"/>
                <w:sz w:val="24"/>
                <w:szCs w:val="24"/>
              </w:rPr>
              <w:t>,</w:t>
            </w:r>
            <w:r w:rsidRPr="00210C44">
              <w:rPr>
                <w:rFonts w:ascii="宋体" w:hAnsi="宋体" w:hint="eastAsia"/>
                <w:sz w:val="24"/>
                <w:szCs w:val="24"/>
              </w:rPr>
              <w:t>认为是比较中性的</w:t>
            </w:r>
            <w:r>
              <w:rPr>
                <w:rFonts w:ascii="宋体" w:hAnsi="宋体" w:hint="eastAsia"/>
                <w:sz w:val="24"/>
                <w:szCs w:val="24"/>
              </w:rPr>
              <w:t>。</w:t>
            </w:r>
            <w:r w:rsidRPr="00210C44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14:paraId="00FBCA7A" w14:textId="77777777" w:rsidR="00E36593" w:rsidRDefault="00E36593" w:rsidP="00833A51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031AA9AE" w14:textId="18DA0792" w:rsidR="00D61826" w:rsidRPr="00D61826" w:rsidRDefault="00D61826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3</w:t>
            </w: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、公司最新发布的50MW漂浮式产品具体出货节奏？</w:t>
            </w:r>
          </w:p>
          <w:p w14:paraId="30EC3282" w14:textId="713389ED" w:rsidR="00D61826" w:rsidRPr="00D61826" w:rsidRDefault="00D61826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答：首先，公司发布的“新领军计划”不仅仅包含50MW漂浮式风电机组，还包括一系列全新一代中速紧凑半直驱技术产品（Medium-speed Compact Drive, MCD）。实际上是我们向市场传达的一些信号：</w:t>
            </w:r>
          </w:p>
          <w:p w14:paraId="705A64D7" w14:textId="4EA37E5D" w:rsidR="00D61826" w:rsidRPr="00D61826" w:rsidRDefault="00D61826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明阳MCD系列产品是公司针对新时代新挑战发布的应对方案，具有“更可靠、更高效、更友好、更经济、更智慧”的特点，覆盖陆上与海上的完整产品线，可以应对</w:t>
            </w:r>
            <w:proofErr w:type="gramStart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沙戈荒大</w:t>
            </w:r>
            <w:proofErr w:type="gramEnd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基地、中低风速区域等陆上、深远海极端复杂条件场景；这是公司进行的第二次重大技术跃升计划，进一步推动风力发电全生命周期度电成本的下降。</w:t>
            </w:r>
          </w:p>
          <w:p w14:paraId="4042EFB6" w14:textId="6EF2735B" w:rsidR="00D61826" w:rsidRDefault="00D61826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同时</w:t>
            </w: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，明阳智能在过去的五年，一直在漂浮式技术上保持创新领先优势，公司持续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研发</w:t>
            </w: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投入，有了今天的16.6MW和25MW两款产品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目前25</w:t>
            </w:r>
            <w:r w:rsidR="00C442C1">
              <w:rPr>
                <w:rFonts w:ascii="宋体" w:hAnsi="宋体" w:hint="eastAsia"/>
                <w:bCs/>
                <w:iCs/>
                <w:color w:val="000000"/>
                <w:sz w:val="24"/>
              </w:rPr>
              <w:t>MW</w:t>
            </w: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产品样机已经在制造中，预计2026年下线并投放市场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50MW漂浮式产品目前处于设计验证阶段。</w:t>
            </w:r>
          </w:p>
          <w:p w14:paraId="0672F048" w14:textId="77777777" w:rsidR="00D61826" w:rsidRDefault="00D61826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30A3CDF8" w14:textId="015E1995" w:rsidR="00D61826" w:rsidRPr="00D61826" w:rsidRDefault="00D61826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4、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</w:t>
            </w: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供应</w:t>
            </w:r>
            <w:proofErr w:type="gramStart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链端成本</w:t>
            </w:r>
            <w:proofErr w:type="gramEnd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是否有下降空间？大部件是否有供应压力？</w:t>
            </w:r>
          </w:p>
          <w:p w14:paraId="3705AC38" w14:textId="66406949" w:rsidR="00D61826" w:rsidRDefault="00D61826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答：按出货结构来看，2025年前三季度6MW以上</w:t>
            </w:r>
            <w:proofErr w:type="gramStart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出货占</w:t>
            </w:r>
            <w:proofErr w:type="gramEnd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比77%左右，预计2026年这一比例会进一步提升，因此对于大部件的需求是增加的，2025年抢装期间上游零部件供应商产能基本能够满足主机厂需求。此外，公司通过绑定核心零部件供应商深度合作，</w:t>
            </w:r>
            <w:r w:rsid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缓解</w:t>
            </w: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零部件压力。供应</w:t>
            </w:r>
            <w:proofErr w:type="gramStart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链价格</w:t>
            </w:r>
            <w:proofErr w:type="gramEnd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目前正在初步询价阶段，</w:t>
            </w:r>
            <w:r w:rsid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预计明年初</w:t>
            </w:r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会有初步采购价格结果，目前从主机</w:t>
            </w:r>
            <w:proofErr w:type="gramStart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厂角度</w:t>
            </w:r>
            <w:proofErr w:type="gramEnd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希望供应</w:t>
            </w:r>
            <w:proofErr w:type="gramStart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链成本</w:t>
            </w:r>
            <w:proofErr w:type="gramEnd"/>
            <w:r w:rsidRPr="00D61826">
              <w:rPr>
                <w:rFonts w:ascii="宋体" w:hAnsi="宋体" w:hint="eastAsia"/>
                <w:bCs/>
                <w:iCs/>
                <w:color w:val="000000"/>
                <w:sz w:val="24"/>
              </w:rPr>
              <w:t>进一步下降，为公司明年盈利改善目标实现打好基础。</w:t>
            </w:r>
          </w:p>
          <w:p w14:paraId="21DF3A74" w14:textId="77777777" w:rsidR="0086589A" w:rsidRDefault="0086589A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3611E540" w14:textId="281EF412" w:rsidR="0086589A" w:rsidRPr="0086589A" w:rsidRDefault="0086589A" w:rsidP="0086589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5、</w:t>
            </w:r>
            <w:r w:rsidRP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公司对于明年风机价格及毛利率修复幅度的展望？</w:t>
            </w:r>
          </w:p>
          <w:p w14:paraId="5BC3234B" w14:textId="4ADFCC9F" w:rsidR="0086589A" w:rsidRPr="0086589A" w:rsidRDefault="0086589A" w:rsidP="0086589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预计未来风机价格将继续小幅回升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。</w:t>
            </w:r>
            <w:r w:rsidRP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主要由于：1）“反内卷”相关政策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的</w:t>
            </w:r>
            <w:r w:rsidRP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执行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；</w:t>
            </w:r>
            <w:r w:rsidRP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2）招标量充足，在需求稳定情况下，各主机厂目前在手订单充足，且行业竞争格局及</w:t>
            </w:r>
            <w:proofErr w:type="gramStart"/>
            <w:r w:rsidRP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市占率相对</w:t>
            </w:r>
            <w:proofErr w:type="gramEnd"/>
            <w:r w:rsidRP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稳定；3）目前风电行业已在行业协会牵头下建立自律委员会和价格监督机制，目前看执行的比较好。</w:t>
            </w:r>
          </w:p>
          <w:p w14:paraId="3F9B7B6D" w14:textId="77777777" w:rsidR="0086589A" w:rsidRDefault="0086589A" w:rsidP="00D61826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361955C8" w14:textId="7DF979DF" w:rsidR="0086589A" w:rsidRPr="0086589A" w:rsidRDefault="0086589A" w:rsidP="0086589A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6、</w:t>
            </w:r>
            <w:r w:rsidRP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陆风增值税退税政策对公司影响？</w:t>
            </w:r>
          </w:p>
          <w:p w14:paraId="1A09C48D" w14:textId="71A1D1FC" w:rsidR="00D61826" w:rsidRDefault="0086589A" w:rsidP="00833A51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政策主要变化为将陆上风力发电的增值税税率</w:t>
            </w:r>
            <w:proofErr w:type="gramStart"/>
            <w:r w:rsidRP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由之前</w:t>
            </w:r>
            <w:proofErr w:type="gramEnd"/>
            <w:r w:rsidRPr="0086589A">
              <w:rPr>
                <w:rFonts w:ascii="宋体" w:hAnsi="宋体" w:hint="eastAsia"/>
                <w:bCs/>
                <w:iCs/>
                <w:color w:val="000000"/>
                <w:sz w:val="24"/>
              </w:rPr>
              <w:t>的“即征即退50%”政策，调整为“全额征收”，增值税政策变化将增加陆上电站项目的税收负担及现金流压力、降低项目投资回报率。公司会积极应对政策变化，通过降本增效、参与电力市场交易等手段持续提升项目收益率。目前看来，这个政策对公司影响</w:t>
            </w:r>
            <w:r w:rsidR="00505E59">
              <w:rPr>
                <w:rFonts w:ascii="宋体" w:hAnsi="宋体" w:hint="eastAsia"/>
                <w:bCs/>
                <w:iCs/>
                <w:color w:val="000000"/>
                <w:sz w:val="24"/>
              </w:rPr>
              <w:t>较小。</w:t>
            </w:r>
          </w:p>
          <w:p w14:paraId="6786F5E9" w14:textId="77777777" w:rsidR="00505E59" w:rsidRPr="00505E59" w:rsidRDefault="00505E59" w:rsidP="00833A51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</w:p>
          <w:p w14:paraId="20915B01" w14:textId="3AAF6B05" w:rsidR="00833A51" w:rsidRDefault="00833A51" w:rsidP="00833A51">
            <w:pPr>
              <w:adjustRightInd w:val="0"/>
              <w:snapToGrid w:val="0"/>
              <w:spacing w:line="500" w:lineRule="exact"/>
              <w:ind w:firstLineChars="200" w:firstLine="480"/>
              <w:rPr>
                <w:rFonts w:ascii="宋体" w:hAnsi="宋体" w:hint="eastAsia"/>
                <w:bCs/>
                <w:iCs/>
                <w:color w:val="000000"/>
                <w:sz w:val="24"/>
              </w:rPr>
            </w:pPr>
            <w:r w:rsidRPr="00833A51">
              <w:rPr>
                <w:rFonts w:ascii="宋体" w:hAnsi="宋体" w:hint="eastAsia"/>
                <w:bCs/>
                <w:iCs/>
                <w:color w:val="000000"/>
                <w:sz w:val="24"/>
              </w:rPr>
              <w:t>公司本次业绩</w:t>
            </w:r>
            <w:r w:rsidR="00B16F86">
              <w:rPr>
                <w:rFonts w:ascii="宋体" w:hAnsi="宋体" w:hint="eastAsia"/>
                <w:bCs/>
                <w:iCs/>
                <w:color w:val="000000"/>
                <w:sz w:val="24"/>
              </w:rPr>
              <w:t>交流会</w:t>
            </w:r>
            <w:r w:rsidRPr="00833A51">
              <w:rPr>
                <w:rFonts w:ascii="宋体" w:hAnsi="宋体" w:hint="eastAsia"/>
                <w:bCs/>
                <w:iCs/>
                <w:color w:val="000000"/>
                <w:sz w:val="24"/>
              </w:rPr>
              <w:t>包括对未来行业的预测、公司发展战</w:t>
            </w:r>
            <w:r w:rsidRPr="00833A51">
              <w:rPr>
                <w:rFonts w:ascii="宋体" w:hAnsi="宋体" w:hint="eastAsia"/>
                <w:bCs/>
                <w:iCs/>
                <w:color w:val="000000"/>
                <w:sz w:val="24"/>
              </w:rPr>
              <w:lastRenderedPageBreak/>
              <w:t>略、经营目标等前瞻性陈述，并不代表公司的盈利预测，也不构成公司对投资者的实质承诺，敬请投资者注意投资风险。</w:t>
            </w:r>
          </w:p>
        </w:tc>
      </w:tr>
      <w:tr w:rsidR="00E36593" w14:paraId="05B51F7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E92C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4FA5A" w14:textId="55AB1D5D" w:rsidR="00E36593" w:rsidRDefault="0002675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E36593" w14:paraId="403B25BE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1118" w14:textId="77777777" w:rsidR="00E36593" w:rsidRDefault="00777C9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78AB" w14:textId="4AEC9ECA" w:rsidR="00E36593" w:rsidRDefault="00777C9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2025-</w:t>
            </w:r>
            <w:r w:rsidR="00505E59">
              <w:rPr>
                <w:rFonts w:hint="eastAsia"/>
                <w:bCs/>
                <w:iCs/>
                <w:color w:val="000000"/>
                <w:sz w:val="24"/>
              </w:rPr>
              <w:t>10</w:t>
            </w:r>
            <w:r>
              <w:rPr>
                <w:bCs/>
                <w:iCs/>
                <w:color w:val="000000"/>
                <w:sz w:val="24"/>
              </w:rPr>
              <w:t>-</w:t>
            </w:r>
            <w:r w:rsidR="00505E59">
              <w:rPr>
                <w:rFonts w:hint="eastAsia"/>
                <w:bCs/>
                <w:iCs/>
                <w:color w:val="000000"/>
                <w:sz w:val="24"/>
              </w:rPr>
              <w:t>31</w:t>
            </w:r>
          </w:p>
        </w:tc>
      </w:tr>
    </w:tbl>
    <w:p w14:paraId="3823B9E6" w14:textId="77777777" w:rsidR="00E36593" w:rsidRDefault="00E36593"/>
    <w:sectPr w:rsidR="00E3659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2DC0A" w14:textId="77777777" w:rsidR="00684109" w:rsidRDefault="00684109">
      <w:r>
        <w:separator/>
      </w:r>
    </w:p>
  </w:endnote>
  <w:endnote w:type="continuationSeparator" w:id="0">
    <w:p w14:paraId="7B9499E4" w14:textId="77777777" w:rsidR="00684109" w:rsidRDefault="0068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2764" w14:textId="527779A7" w:rsidR="00E36593" w:rsidRDefault="00E36593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E5127" w14:textId="77777777" w:rsidR="00684109" w:rsidRDefault="00684109">
      <w:r>
        <w:separator/>
      </w:r>
    </w:p>
  </w:footnote>
  <w:footnote w:type="continuationSeparator" w:id="0">
    <w:p w14:paraId="7A1FA6C5" w14:textId="77777777" w:rsidR="00684109" w:rsidRDefault="0068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F2CBB" w14:textId="4C82DA3A" w:rsidR="00E36593" w:rsidRDefault="00E36593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755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D85"/>
    <w:rsid w:val="000E5700"/>
    <w:rsid w:val="000F0C4B"/>
    <w:rsid w:val="000F0E22"/>
    <w:rsid w:val="00105A04"/>
    <w:rsid w:val="001169A9"/>
    <w:rsid w:val="00117B9E"/>
    <w:rsid w:val="0012399C"/>
    <w:rsid w:val="00125EB2"/>
    <w:rsid w:val="00142A4C"/>
    <w:rsid w:val="00144279"/>
    <w:rsid w:val="001452FF"/>
    <w:rsid w:val="00153DC5"/>
    <w:rsid w:val="0016617A"/>
    <w:rsid w:val="00167E99"/>
    <w:rsid w:val="0019479A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10C44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183F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5BB0"/>
    <w:rsid w:val="0045767F"/>
    <w:rsid w:val="00463E9B"/>
    <w:rsid w:val="00467414"/>
    <w:rsid w:val="00467E92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05E59"/>
    <w:rsid w:val="005155FB"/>
    <w:rsid w:val="00523907"/>
    <w:rsid w:val="00537C53"/>
    <w:rsid w:val="005438F5"/>
    <w:rsid w:val="00544901"/>
    <w:rsid w:val="00546465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A74B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4109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270C5"/>
    <w:rsid w:val="00753DB6"/>
    <w:rsid w:val="00763847"/>
    <w:rsid w:val="00771FE3"/>
    <w:rsid w:val="00776BDE"/>
    <w:rsid w:val="00777C97"/>
    <w:rsid w:val="007808F5"/>
    <w:rsid w:val="00786870"/>
    <w:rsid w:val="00792237"/>
    <w:rsid w:val="0079272A"/>
    <w:rsid w:val="007A1DA9"/>
    <w:rsid w:val="007B2252"/>
    <w:rsid w:val="007B79D9"/>
    <w:rsid w:val="007C67B1"/>
    <w:rsid w:val="007D56E3"/>
    <w:rsid w:val="007E354A"/>
    <w:rsid w:val="007E69C8"/>
    <w:rsid w:val="0080525B"/>
    <w:rsid w:val="008062C5"/>
    <w:rsid w:val="0080741A"/>
    <w:rsid w:val="008130C0"/>
    <w:rsid w:val="00814B5B"/>
    <w:rsid w:val="00833A51"/>
    <w:rsid w:val="00836F34"/>
    <w:rsid w:val="00843E73"/>
    <w:rsid w:val="00844EBF"/>
    <w:rsid w:val="00854F61"/>
    <w:rsid w:val="00864202"/>
    <w:rsid w:val="0086589A"/>
    <w:rsid w:val="00873B59"/>
    <w:rsid w:val="0087701F"/>
    <w:rsid w:val="0089283D"/>
    <w:rsid w:val="008A0ADC"/>
    <w:rsid w:val="008A1BAB"/>
    <w:rsid w:val="008B38B7"/>
    <w:rsid w:val="008B458E"/>
    <w:rsid w:val="008C4D4A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553"/>
    <w:rsid w:val="00A25AEE"/>
    <w:rsid w:val="00A31EB1"/>
    <w:rsid w:val="00A33AEA"/>
    <w:rsid w:val="00A461CD"/>
    <w:rsid w:val="00A469C5"/>
    <w:rsid w:val="00A5317D"/>
    <w:rsid w:val="00A558D6"/>
    <w:rsid w:val="00A61419"/>
    <w:rsid w:val="00A6284E"/>
    <w:rsid w:val="00A63E81"/>
    <w:rsid w:val="00A8775A"/>
    <w:rsid w:val="00AA0527"/>
    <w:rsid w:val="00AA3D75"/>
    <w:rsid w:val="00AA5998"/>
    <w:rsid w:val="00AB07E7"/>
    <w:rsid w:val="00AD1BA8"/>
    <w:rsid w:val="00B02A29"/>
    <w:rsid w:val="00B03522"/>
    <w:rsid w:val="00B04AD6"/>
    <w:rsid w:val="00B06A9D"/>
    <w:rsid w:val="00B14CAA"/>
    <w:rsid w:val="00B16F86"/>
    <w:rsid w:val="00B257CE"/>
    <w:rsid w:val="00B257DA"/>
    <w:rsid w:val="00B4746C"/>
    <w:rsid w:val="00B52F62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BF2CD8"/>
    <w:rsid w:val="00C04F82"/>
    <w:rsid w:val="00C15AC0"/>
    <w:rsid w:val="00C227FD"/>
    <w:rsid w:val="00C26030"/>
    <w:rsid w:val="00C35360"/>
    <w:rsid w:val="00C41091"/>
    <w:rsid w:val="00C442C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61826"/>
    <w:rsid w:val="00D62AEA"/>
    <w:rsid w:val="00D92BCA"/>
    <w:rsid w:val="00DA26A9"/>
    <w:rsid w:val="00DB01FF"/>
    <w:rsid w:val="00DC7778"/>
    <w:rsid w:val="00DE490F"/>
    <w:rsid w:val="00DE7391"/>
    <w:rsid w:val="00DF2DB5"/>
    <w:rsid w:val="00DF6560"/>
    <w:rsid w:val="00E04CC0"/>
    <w:rsid w:val="00E136FF"/>
    <w:rsid w:val="00E32528"/>
    <w:rsid w:val="00E35F26"/>
    <w:rsid w:val="00E36593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4592F"/>
    <w:rsid w:val="00F64E72"/>
    <w:rsid w:val="00F70C7D"/>
    <w:rsid w:val="00F9272E"/>
    <w:rsid w:val="00F97743"/>
    <w:rsid w:val="00FA6DAF"/>
    <w:rsid w:val="00FC08C2"/>
    <w:rsid w:val="00FC6884"/>
    <w:rsid w:val="00FE62F3"/>
    <w:rsid w:val="00FF71D2"/>
    <w:rsid w:val="1B2418A5"/>
    <w:rsid w:val="1FBFC074"/>
    <w:rsid w:val="36FB9E1F"/>
    <w:rsid w:val="3BFA3B96"/>
    <w:rsid w:val="3CEF3472"/>
    <w:rsid w:val="3EFF16E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25AB1C"/>
  <w15:docId w15:val="{5A09FEC8-E225-4A94-B40A-C974A805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paragraph" w:styleId="a7">
    <w:name w:val="Revision"/>
    <w:hidden/>
    <w:uiPriority w:val="99"/>
    <w:unhideWhenUsed/>
    <w:rsid w:val="00C442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318</Words>
  <Characters>1814</Characters>
  <Application>Microsoft Office Word</Application>
  <DocSecurity>0</DocSecurity>
  <Lines>15</Lines>
  <Paragraphs>4</Paragraphs>
  <ScaleCrop>false</ScaleCrop>
  <Company>微软中国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肖泳琪</cp:lastModifiedBy>
  <cp:revision>8</cp:revision>
  <cp:lastPrinted>2014-02-21T05:34:00Z</cp:lastPrinted>
  <dcterms:created xsi:type="dcterms:W3CDTF">2025-09-19T09:30:00Z</dcterms:created>
  <dcterms:modified xsi:type="dcterms:W3CDTF">2025-10-31T09:34:00Z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3378DF92D5494EA79182626F58817F75</vt:lpwstr>
  </property>
</Properties>
</file>