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8230" w14:textId="616F25CA" w:rsidR="00AF1270" w:rsidRDefault="003409BB" w:rsidP="009B7515">
      <w:pPr>
        <w:pStyle w:val="1"/>
        <w:jc w:val="center"/>
        <w:rPr>
          <w:rFonts w:ascii="宋体" w:eastAsia="宋体" w:hAnsi="宋体" w:cs="宋体" w:hint="eastAsia"/>
          <w:sz w:val="24"/>
          <w:szCs w:val="24"/>
          <w:lang w:val="en-US"/>
        </w:rPr>
      </w:pPr>
      <w:r>
        <w:rPr>
          <w:rFonts w:ascii="宋体" w:eastAsia="宋体" w:hAnsi="宋体" w:cs="宋体" w:hint="eastAsia"/>
          <w:sz w:val="24"/>
          <w:szCs w:val="24"/>
          <w:lang w:val="en-US"/>
        </w:rPr>
        <w:t>证券代码：</w:t>
      </w:r>
      <w:r w:rsidRPr="009B7515">
        <w:rPr>
          <w:rFonts w:ascii="Times New Roman" w:eastAsia="宋体" w:hAnsi="Times New Roman" w:cs="宋体" w:hint="eastAsia"/>
          <w:sz w:val="24"/>
          <w:szCs w:val="24"/>
          <w:lang w:val="en-US"/>
        </w:rPr>
        <w:t>603909</w:t>
      </w:r>
      <w:r w:rsidR="009B7515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       </w:t>
      </w:r>
      <w:r w:rsidR="004D5E96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</w:t>
      </w:r>
      <w:r w:rsidR="009B7515">
        <w:rPr>
          <w:rFonts w:ascii="Times New Roman" w:eastAsia="宋体" w:hAnsi="Times New Roman" w:cs="宋体" w:hint="eastAsia"/>
          <w:sz w:val="24"/>
          <w:szCs w:val="24"/>
          <w:lang w:val="en-US"/>
        </w:rPr>
        <w:t xml:space="preserve">                         </w:t>
      </w:r>
      <w:r>
        <w:rPr>
          <w:rFonts w:ascii="宋体" w:eastAsia="宋体" w:hAnsi="宋体" w:cs="宋体" w:hint="eastAsia"/>
          <w:sz w:val="24"/>
          <w:szCs w:val="24"/>
          <w:lang w:val="en-US"/>
        </w:rPr>
        <w:t>证券简称：</w:t>
      </w:r>
      <w:proofErr w:type="gramStart"/>
      <w:r>
        <w:rPr>
          <w:rFonts w:ascii="宋体" w:eastAsia="宋体" w:hAnsi="宋体" w:cs="宋体" w:hint="eastAsia"/>
          <w:sz w:val="24"/>
          <w:szCs w:val="24"/>
          <w:lang w:val="en-US"/>
        </w:rPr>
        <w:t>建发合诚</w:t>
      </w:r>
      <w:proofErr w:type="gramEnd"/>
    </w:p>
    <w:p w14:paraId="03958231" w14:textId="77777777" w:rsidR="00AF1270" w:rsidRDefault="00AF1270">
      <w:pPr>
        <w:spacing w:line="600" w:lineRule="exact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3958232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建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发合诚工程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咨询股份有限公司</w:t>
      </w:r>
    </w:p>
    <w:p w14:paraId="03958233" w14:textId="77777777" w:rsidR="00AF1270" w:rsidRDefault="003409BB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  <w:lang w:val="en-US"/>
        </w:rPr>
      </w:pPr>
      <w:r>
        <w:rPr>
          <w:rFonts w:ascii="宋体" w:eastAsia="宋体" w:hAnsi="宋体" w:cs="宋体" w:hint="eastAsia"/>
          <w:b/>
          <w:bCs/>
          <w:sz w:val="36"/>
          <w:szCs w:val="36"/>
          <w:lang w:val="en-US"/>
        </w:rPr>
        <w:t>投资者关系活动记录</w:t>
      </w: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624"/>
      </w:tblGrid>
      <w:tr w:rsidR="00AF1270" w14:paraId="0395823A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624" w:type="dxa"/>
          </w:tcPr>
          <w:p w14:paraId="03958235" w14:textId="77777777" w:rsidR="00AF1270" w:rsidRDefault="00E33777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03958236" w14:textId="77777777" w:rsidR="00AF1270" w:rsidRDefault="00E33777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Wingdings 2" w:eastAsia="MS Gothic" w:hAnsi="Wingdings 2" w:cs="宋体" w:hint="eastAsia"/>
                    <w:sz w:val="24"/>
                    <w:szCs w:val="24"/>
                  </w:rPr>
                  <w:t>R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03958237" w14:textId="77777777" w:rsidR="00AF1270" w:rsidRDefault="00E33777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409BB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3409BB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03958238" w14:textId="00EFF73B" w:rsidR="00AF1270" w:rsidRDefault="00E33777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60AB8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03958239" w14:textId="70A9DD34" w:rsidR="00AF1270" w:rsidRDefault="00E33777">
            <w:pPr>
              <w:pStyle w:val="TableParagraph"/>
              <w:ind w:left="107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B7515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3409BB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AF1270" w14:paraId="0395823D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B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6624" w:type="dxa"/>
            <w:vAlign w:val="center"/>
          </w:tcPr>
          <w:p w14:paraId="0395823C" w14:textId="4BDD667F" w:rsidR="00AF1270" w:rsidRDefault="003409BB">
            <w:pPr>
              <w:pStyle w:val="TableParagraph"/>
              <w:spacing w:beforeLines="30" w:before="72" w:afterLines="30" w:after="72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线上参与公司</w:t>
            </w:r>
            <w:r w:rsidRPr="009B7515">
              <w:rPr>
                <w:rFonts w:ascii="Times New Roman" w:eastAsiaTheme="minorEastAsia" w:hAnsi="Times New Roman" w:cs="宋体" w:hint="eastAsia"/>
                <w:sz w:val="24"/>
                <w:szCs w:val="24"/>
                <w:lang w:val="en-US"/>
              </w:rPr>
              <w:t>2025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年</w:t>
            </w:r>
            <w:r w:rsidR="009B7515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第三季度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业绩说明会的</w:t>
            </w:r>
            <w:r w:rsidR="009B7515"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全体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val="en-US"/>
              </w:rPr>
              <w:t>投资者</w:t>
            </w:r>
          </w:p>
        </w:tc>
      </w:tr>
      <w:tr w:rsidR="00AF1270" w14:paraId="03958240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3E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6624" w:type="dxa"/>
            <w:vAlign w:val="center"/>
          </w:tcPr>
          <w:p w14:paraId="0395823F" w14:textId="2402EFE5" w:rsidR="00AF1270" w:rsidRPr="009B7515" w:rsidRDefault="003409BB">
            <w:pPr>
              <w:spacing w:beforeLines="30" w:before="72" w:afterLines="30" w:after="72"/>
              <w:rPr>
                <w:rFonts w:ascii="Times New Roman" w:eastAsiaTheme="minorEastAsia" w:hAnsi="Times New Roman" w:cstheme="minorEastAsia"/>
                <w:sz w:val="24"/>
                <w:szCs w:val="24"/>
              </w:rPr>
            </w:pP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2025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 w:rsidR="009B7515"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 w:rsidR="009B7515"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03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</w:t>
            </w: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-</w:t>
            </w: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11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 w:rsidRPr="009B7515">
              <w:rPr>
                <w:rFonts w:ascii="Times New Roman" w:eastAsiaTheme="minorEastAsia" w:hAnsi="Times New Roman" w:cstheme="minorEastAsia" w:hint="eastAsia"/>
                <w:sz w:val="24"/>
                <w:szCs w:val="24"/>
              </w:rPr>
              <w:t>00</w:t>
            </w:r>
          </w:p>
        </w:tc>
      </w:tr>
      <w:tr w:rsidR="00AF1270" w14:paraId="03958243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1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624" w:type="dxa"/>
            <w:vAlign w:val="center"/>
          </w:tcPr>
          <w:p w14:paraId="03958242" w14:textId="2A8C1A01" w:rsidR="00AF1270" w:rsidRDefault="003409BB">
            <w:pPr>
              <w:pStyle w:val="TableParagraph"/>
              <w:spacing w:beforeLines="30" w:before="72" w:afterLines="30" w:after="72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价值在线（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https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://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www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ir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online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.</w:t>
            </w:r>
            <w:r>
              <w:rPr>
                <w:rFonts w:ascii="Times New Roman" w:eastAsiaTheme="minorEastAsia" w:hAnsi="Times New Roman" w:cs="宋体"/>
                <w:sz w:val="24"/>
                <w:szCs w:val="24"/>
              </w:rPr>
              <w:t>cn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/）网络互动</w:t>
            </w:r>
          </w:p>
        </w:tc>
      </w:tr>
      <w:tr w:rsidR="00AF1270" w14:paraId="03958249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4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624" w:type="dxa"/>
            <w:vAlign w:val="center"/>
          </w:tcPr>
          <w:p w14:paraId="03958245" w14:textId="058DB4D8" w:rsidR="00AF1270" w:rsidRDefault="005672CA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董事兼</w:t>
            </w:r>
            <w:r w:rsidR="003409BB">
              <w:rPr>
                <w:rFonts w:ascii="宋体" w:eastAsia="宋体" w:hAnsi="宋体" w:cs="宋体"/>
                <w:sz w:val="24"/>
                <w:szCs w:val="24"/>
              </w:rPr>
              <w:t>总经理黄和</w:t>
            </w:r>
            <w:proofErr w:type="gramStart"/>
            <w:r w:rsidR="003409BB">
              <w:rPr>
                <w:rFonts w:ascii="宋体" w:eastAsia="宋体" w:hAnsi="宋体" w:cs="宋体"/>
                <w:sz w:val="24"/>
                <w:szCs w:val="24"/>
              </w:rPr>
              <w:t>宾</w:t>
            </w:r>
            <w:proofErr w:type="gramEnd"/>
          </w:p>
          <w:p w14:paraId="03958246" w14:textId="285F69A8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独立董事林朝南</w:t>
            </w:r>
          </w:p>
          <w:p w14:paraId="03958247" w14:textId="6F652BCB" w:rsidR="00AF127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董事会秘</w:t>
            </w:r>
            <w:r w:rsidR="00B87B02">
              <w:rPr>
                <w:rFonts w:ascii="宋体" w:eastAsia="宋体" w:hAnsi="宋体" w:cs="宋体" w:hint="eastAsia"/>
                <w:sz w:val="24"/>
                <w:szCs w:val="24"/>
              </w:rPr>
              <w:t>书</w:t>
            </w:r>
            <w:r>
              <w:rPr>
                <w:rFonts w:ascii="宋体" w:eastAsia="宋体" w:hAnsi="宋体" w:cs="宋体"/>
                <w:sz w:val="24"/>
                <w:szCs w:val="24"/>
              </w:rPr>
              <w:t>高玮琳</w:t>
            </w:r>
          </w:p>
          <w:p w14:paraId="03958248" w14:textId="174DFBD1" w:rsidR="00EF0890" w:rsidRDefault="003409BB">
            <w:pPr>
              <w:pStyle w:val="TableParagraph"/>
              <w:spacing w:beforeLines="30" w:before="72" w:afterLines="30" w:after="72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财务总监刘晓玲</w:t>
            </w:r>
          </w:p>
        </w:tc>
      </w:tr>
      <w:tr w:rsidR="00AF1270" w14:paraId="0395825E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4A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</w:t>
            </w:r>
          </w:p>
          <w:p w14:paraId="0395824B" w14:textId="77777777" w:rsidR="00AF1270" w:rsidRDefault="003409BB">
            <w:pPr>
              <w:pStyle w:val="TableParagraph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主要内容介绍</w:t>
            </w:r>
          </w:p>
        </w:tc>
        <w:tc>
          <w:tcPr>
            <w:tcW w:w="6624" w:type="dxa"/>
          </w:tcPr>
          <w:p w14:paraId="0395824C" w14:textId="1B257192" w:rsidR="00AF1270" w:rsidRDefault="003409BB" w:rsidP="00E33777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报告显示，公司前三季度新签合同中工程施工业务（建筑施工、综合管养）占比超过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90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%，同比增长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149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57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%，而工程咨询业务基本持平。请问公司未来是否将继续聚焦工程施工业务？是否考虑进一步优化业务结构以提升整体毛利率？</w:t>
            </w:r>
          </w:p>
          <w:p w14:paraId="0395824D" w14:textId="2513C5E8" w:rsidR="00AF1270" w:rsidRDefault="003409BB" w:rsidP="00E3377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公司持续聚焦“工程咨询”与“工程施工”双主业，深耕新建与在役工程两大领域。首先，持续加强与控股股东的业务协同，夯实业务基础，保障业务基本盘；其次，积极响应城市更新、韧性城市政策，重点打造“工程医院”核心品牌，积极开拓重点区域的“工程医院”业务，提升在役工程的业务占比，优化业务结构。</w:t>
            </w:r>
          </w:p>
          <w:p w14:paraId="0395824E" w14:textId="3FE9C25C" w:rsidR="00AF1270" w:rsidRDefault="003409BB" w:rsidP="00E33777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公司前三季度</w:t>
            </w:r>
            <w:proofErr w:type="gramStart"/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归母净利润</w:t>
            </w:r>
            <w:proofErr w:type="gramEnd"/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同比增长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21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20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%，表现稳健。结合当前新签合同规模及业务增长趋势，管理层对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2025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年全年业绩是否有信心实现持续增长？</w:t>
            </w:r>
          </w:p>
          <w:p w14:paraId="0395824F" w14:textId="59611D86" w:rsidR="00AF1270" w:rsidRDefault="003409BB" w:rsidP="00E3377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年，公司紧密围绕年度工作主线“增规模、增利润，有灯塔、有生态，好口碑”开展工作，目前公司发展态势良好。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第四季度，公司将紧抓城市更新、地方政府债务化解等国家政策机遇，持续深化与控股股东的协同合作，积极拓展建筑材料及C端精装加载等业务，加速国内区域布局与海外市场开拓。同时，通过数字化升级和精细化管控</w:t>
            </w:r>
            <w:r w:rsidR="00071D52"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持续提升运营效率，全力保障项目履约与年底回款工作，力争圆满完成全年业绩目标。具体经营情况敬请关注公司公告。</w:t>
            </w:r>
          </w:p>
          <w:p w14:paraId="03958250" w14:textId="5A80E37A" w:rsidR="00AF1270" w:rsidRDefault="003409BB" w:rsidP="00E33777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3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报告显示前三季度研发费用为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28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,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602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,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911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79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元，与去年同期基本持平。在业务规模快速扩张的背景下，公司是否计划加大研发投入以支持工程咨询业务的创新与技术升级？未来是否有重点研发方向？</w:t>
            </w:r>
          </w:p>
          <w:p w14:paraId="03958251" w14:textId="2EDB0D98" w:rsidR="00AF1270" w:rsidRDefault="003409BB" w:rsidP="00E3377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目前，公司已构建“三级技术管控、重点研发专项”双创新体系，并依托“一院一站三中心”的科研平台与系统化的协同机制，持续加大研发投入。未来，公司将聚焦城市生命线、城市更新等在役工程场景，基于“工程医院”的“感传知用”技术架构与“五层两翼”模型，打造城市运行管理服务平台——“合诚数智云”，同时公司将在BIM与AI辅助设计、智慧检测、智慧养护等关键技术上重点投入，推动技术创新及服务升级。</w:t>
            </w:r>
          </w:p>
          <w:p w14:paraId="03958252" w14:textId="4EFC28E0" w:rsidR="00AF1270" w:rsidRDefault="003409BB" w:rsidP="00E33777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4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公司新签合同总额增长显著，特别是建筑施工类合同。想了解从合同签订到收入确认，通常的平均周期是多久？目前充沛的在手订单，预计将对公司未来几个季度的业绩产生怎样的支撑作用？</w:t>
            </w:r>
          </w:p>
          <w:p w14:paraId="58BE08BC" w14:textId="77777777" w:rsidR="00DA3C29" w:rsidRDefault="003409BB" w:rsidP="00E3377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截至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2025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9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30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日，公司本年度累计新签合同总额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107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47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亿元，较上年同期增长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125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%。其中①在国家基建投资增速放缓的背景下，工程咨询业务完成新签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7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69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亿元，同比增长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0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11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%；②工程施工业务完成新签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99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78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亿元，同比增长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149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57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%。</w:t>
            </w:r>
          </w:p>
          <w:p w14:paraId="03958253" w14:textId="3AD6AD2A" w:rsidR="00AF1270" w:rsidRDefault="009B7515" w:rsidP="00E3377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9B7515">
              <w:rPr>
                <w:rFonts w:ascii="宋体" w:eastAsia="宋体" w:hAnsi="宋体" w:cs="宋体" w:hint="eastAsia"/>
                <w:sz w:val="24"/>
                <w:szCs w:val="24"/>
              </w:rPr>
              <w:t>建筑施工的合同履约期通常是</w:t>
            </w:r>
            <w:r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3</w:t>
            </w:r>
            <w:r w:rsidRPr="009B7515">
              <w:rPr>
                <w:rFonts w:ascii="宋体" w:eastAsia="宋体" w:hAnsi="宋体" w:cs="宋体" w:hint="eastAsia"/>
                <w:sz w:val="24"/>
                <w:szCs w:val="24"/>
              </w:rPr>
              <w:t>-</w:t>
            </w:r>
            <w:r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3</w:t>
            </w:r>
            <w:r w:rsidRPr="009B7515">
              <w:rPr>
                <w:rFonts w:ascii="宋体" w:eastAsia="宋体" w:hAnsi="宋体" w:cs="宋体" w:hint="eastAsia"/>
                <w:sz w:val="24"/>
                <w:szCs w:val="24"/>
              </w:rPr>
              <w:t>.</w:t>
            </w:r>
            <w:r w:rsidRPr="009B7515">
              <w:rPr>
                <w:rFonts w:ascii="Times New Roman" w:eastAsia="宋体" w:hAnsi="Times New Roman" w:cs="宋体" w:hint="eastAsia"/>
                <w:sz w:val="24"/>
                <w:szCs w:val="24"/>
              </w:rPr>
              <w:t>5</w:t>
            </w:r>
            <w:r w:rsidRPr="009B7515">
              <w:rPr>
                <w:rFonts w:ascii="宋体" w:eastAsia="宋体" w:hAnsi="宋体" w:cs="宋体" w:hint="eastAsia"/>
                <w:sz w:val="24"/>
                <w:szCs w:val="24"/>
              </w:rPr>
              <w:t>年，收入的确认是根据项目的履约进度进行转化。</w:t>
            </w:r>
          </w:p>
          <w:p w14:paraId="03958254" w14:textId="310255FF" w:rsidR="00AF1270" w:rsidRDefault="003409BB" w:rsidP="00E33777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9B7515">
              <w:rPr>
                <w:rFonts w:ascii="Times New Roman" w:eastAsia="宋体" w:hAnsi="Times New Roman" w:cs="宋体"/>
                <w:b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应收账款从年初的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9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48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亿元上升至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11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33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亿元，合同资产也从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19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34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亿元增至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26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.</w:t>
            </w:r>
            <w:r w:rsidR="009B7515" w:rsidRPr="009B7515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86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t>亿元。公司如何看待当前资产质量？</w:t>
            </w:r>
            <w:r w:rsidR="009B7515" w:rsidRPr="009B7515">
              <w:rPr>
                <w:rFonts w:ascii="宋体" w:eastAsia="宋体" w:hAnsi="宋体" w:cs="宋体" w:hint="eastAsia"/>
                <w:b/>
                <w:sz w:val="24"/>
                <w:szCs w:val="24"/>
              </w:rPr>
              <w:lastRenderedPageBreak/>
              <w:t>是否有计划加强回款管理或控制应收风险？</w:t>
            </w:r>
          </w:p>
          <w:p w14:paraId="044F3FFB" w14:textId="77777777" w:rsidR="00DA3C29" w:rsidRDefault="003409BB" w:rsidP="00E3377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答</w:t>
            </w:r>
            <w:r w:rsidR="007C71E9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公司应收账款及合同资产较年初有所增加，主要</w:t>
            </w:r>
            <w:proofErr w:type="gramStart"/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系建筑</w:t>
            </w:r>
            <w:proofErr w:type="gramEnd"/>
            <w:r w:rsidR="009B7515" w:rsidRPr="009B7515">
              <w:rPr>
                <w:rFonts w:ascii="宋体" w:eastAsia="宋体" w:hAnsi="宋体" w:cs="宋体" w:hint="eastAsia"/>
                <w:sz w:val="24"/>
                <w:szCs w:val="24"/>
              </w:rPr>
              <w:t>施工业务规模增长所致，基于公司建筑施工业务以承接控股股东业务为主，其信用资质优良，不存在实际发生坏账减损的情况。</w:t>
            </w:r>
          </w:p>
          <w:p w14:paraId="0395825D" w14:textId="0D620465" w:rsidR="00AF1270" w:rsidRPr="009B7515" w:rsidRDefault="009B7515" w:rsidP="00E33777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 w:rsidRPr="009B7515">
              <w:rPr>
                <w:rFonts w:ascii="宋体" w:eastAsia="宋体" w:hAnsi="宋体" w:cs="宋体" w:hint="eastAsia"/>
                <w:sz w:val="24"/>
                <w:szCs w:val="24"/>
              </w:rPr>
              <w:t>鉴于勘察设计业务的回款周期较长属于行业共性问题，公司现已依托合同系统建立收款周期模型，内置预警机制确保账款追踪及时性，强化回款考核机制；综合运用政府化债协商、法律诉讼等方式加速资金回笼，加强</w:t>
            </w:r>
            <w:proofErr w:type="gramStart"/>
            <w:r w:rsidRPr="009B7515">
              <w:rPr>
                <w:rFonts w:ascii="宋体" w:eastAsia="宋体" w:hAnsi="宋体" w:cs="宋体" w:hint="eastAsia"/>
                <w:sz w:val="24"/>
                <w:szCs w:val="24"/>
              </w:rPr>
              <w:t>长账龄合同</w:t>
            </w:r>
            <w:proofErr w:type="gramEnd"/>
            <w:r w:rsidRPr="009B7515">
              <w:rPr>
                <w:rFonts w:ascii="宋体" w:eastAsia="宋体" w:hAnsi="宋体" w:cs="宋体" w:hint="eastAsia"/>
                <w:sz w:val="24"/>
                <w:szCs w:val="24"/>
              </w:rPr>
              <w:t>应收款的催收工作，保障现金流稳定。</w:t>
            </w:r>
          </w:p>
        </w:tc>
      </w:tr>
      <w:tr w:rsidR="00AF1270" w14:paraId="03958262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0395825F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关于本次活动是否涉及</w:t>
            </w:r>
          </w:p>
          <w:p w14:paraId="03958260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应披露重大信息的说明</w:t>
            </w:r>
          </w:p>
        </w:tc>
        <w:tc>
          <w:tcPr>
            <w:tcW w:w="6624" w:type="dxa"/>
            <w:vAlign w:val="center"/>
          </w:tcPr>
          <w:p w14:paraId="03958261" w14:textId="77777777" w:rsidR="00AF1270" w:rsidRDefault="003409BB">
            <w:pPr>
              <w:pStyle w:val="TableParagraph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本次活动不涉及未公开披露的重大信息。</w:t>
            </w:r>
          </w:p>
        </w:tc>
      </w:tr>
      <w:tr w:rsidR="009B7515" w14:paraId="5B68E851" w14:textId="77777777" w:rsidTr="003409BB">
        <w:trPr>
          <w:trHeight w:val="397"/>
          <w:jc w:val="center"/>
        </w:trPr>
        <w:tc>
          <w:tcPr>
            <w:tcW w:w="2727" w:type="dxa"/>
            <w:vAlign w:val="center"/>
          </w:tcPr>
          <w:p w14:paraId="7B8D1298" w14:textId="3EDB76DA" w:rsidR="009B7515" w:rsidRPr="009B7515" w:rsidRDefault="009B7515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B7515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624" w:type="dxa"/>
            <w:vAlign w:val="center"/>
          </w:tcPr>
          <w:p w14:paraId="6E0F48CE" w14:textId="28FFF51D" w:rsidR="009B7515" w:rsidRDefault="009B7515">
            <w:pPr>
              <w:pStyle w:val="TableParagrap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9B7515">
              <w:rPr>
                <w:rFonts w:ascii="Times New Roman" w:eastAsiaTheme="minorEastAsia" w:hAnsi="Times New Roman" w:cs="宋体"/>
                <w:sz w:val="24"/>
                <w:szCs w:val="24"/>
              </w:rPr>
              <w:t>2025</w:t>
            </w:r>
            <w:r w:rsidRPr="009B7515">
              <w:rPr>
                <w:rFonts w:asciiTheme="minorEastAsia" w:eastAsiaTheme="minorEastAsia" w:hAnsiTheme="minorEastAsia" w:cs="宋体"/>
                <w:sz w:val="24"/>
                <w:szCs w:val="24"/>
              </w:rPr>
              <w:t>年</w:t>
            </w:r>
            <w:r w:rsidRPr="009B7515">
              <w:rPr>
                <w:rFonts w:ascii="Times New Roman" w:eastAsiaTheme="minorEastAsia" w:hAnsi="Times New Roman" w:cs="宋体"/>
                <w:sz w:val="24"/>
                <w:szCs w:val="24"/>
              </w:rPr>
              <w:t>11</w:t>
            </w:r>
            <w:r w:rsidRPr="009B7515">
              <w:rPr>
                <w:rFonts w:asciiTheme="minorEastAsia" w:eastAsiaTheme="minorEastAsia" w:hAnsiTheme="minorEastAsia" w:cs="宋体"/>
                <w:sz w:val="24"/>
                <w:szCs w:val="24"/>
              </w:rPr>
              <w:t>月</w:t>
            </w:r>
            <w:r w:rsidRPr="009B7515">
              <w:rPr>
                <w:rFonts w:ascii="Times New Roman" w:eastAsiaTheme="minorEastAsia" w:hAnsi="Times New Roman" w:cs="宋体"/>
                <w:sz w:val="24"/>
                <w:szCs w:val="24"/>
              </w:rPr>
              <w:t>03</w:t>
            </w:r>
            <w:r w:rsidRPr="009B7515">
              <w:rPr>
                <w:rFonts w:asciiTheme="minorEastAsia" w:eastAsiaTheme="minorEastAsia" w:hAnsiTheme="minorEastAsia" w:cs="宋体"/>
                <w:sz w:val="24"/>
                <w:szCs w:val="24"/>
              </w:rPr>
              <w:t>日</w:t>
            </w:r>
          </w:p>
        </w:tc>
      </w:tr>
      <w:tr w:rsidR="00AF1270" w14:paraId="03958264" w14:textId="77777777" w:rsidTr="003409BB">
        <w:trPr>
          <w:trHeight w:val="397"/>
          <w:jc w:val="center"/>
        </w:trPr>
        <w:tc>
          <w:tcPr>
            <w:tcW w:w="9351" w:type="dxa"/>
            <w:gridSpan w:val="2"/>
            <w:vAlign w:val="center"/>
          </w:tcPr>
          <w:p w14:paraId="03958263" w14:textId="77777777" w:rsidR="00AF1270" w:rsidRDefault="003409BB">
            <w:pPr>
              <w:pStyle w:val="TableParagraph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风险提示</w:t>
            </w:r>
          </w:p>
        </w:tc>
      </w:tr>
      <w:tr w:rsidR="00AF1270" w14:paraId="03958266" w14:textId="77777777" w:rsidTr="003409BB">
        <w:trPr>
          <w:trHeight w:val="397"/>
          <w:jc w:val="center"/>
        </w:trPr>
        <w:tc>
          <w:tcPr>
            <w:tcW w:w="9351" w:type="dxa"/>
            <w:gridSpan w:val="2"/>
            <w:vAlign w:val="center"/>
          </w:tcPr>
          <w:p w14:paraId="03958265" w14:textId="77777777" w:rsidR="00AF1270" w:rsidRDefault="003409BB" w:rsidP="003409BB">
            <w:pPr>
              <w:pStyle w:val="TableParagraph"/>
              <w:spacing w:beforeLines="30" w:before="72" w:line="300" w:lineRule="auto"/>
              <w:ind w:firstLineChars="200" w:firstLine="480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以上如涉及对行业的预测、公司发展战略规划等相关内容，不能视作公司或管理层对行业、公司发展或业绩的承诺和保证，敬请广大投资者注意投资风险。</w:t>
            </w:r>
          </w:p>
        </w:tc>
      </w:tr>
    </w:tbl>
    <w:p w14:paraId="0395826A" w14:textId="77777777" w:rsidR="00AF1270" w:rsidRDefault="00AF1270">
      <w:pPr>
        <w:rPr>
          <w:rFonts w:ascii="宋体" w:eastAsia="宋体" w:hAnsi="宋体" w:cs="宋体" w:hint="eastAsia"/>
          <w:sz w:val="28"/>
          <w:szCs w:val="36"/>
        </w:rPr>
      </w:pPr>
    </w:p>
    <w:sectPr w:rsidR="00AF1270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1D95A" w14:textId="77777777" w:rsidR="00CC1D51" w:rsidRDefault="00CC1D51" w:rsidP="00B87B02">
      <w:pPr>
        <w:rPr>
          <w:rFonts w:hint="eastAsia"/>
        </w:rPr>
      </w:pPr>
      <w:r>
        <w:separator/>
      </w:r>
    </w:p>
  </w:endnote>
  <w:endnote w:type="continuationSeparator" w:id="0">
    <w:p w14:paraId="48C8102E" w14:textId="77777777" w:rsidR="00CC1D51" w:rsidRDefault="00CC1D51" w:rsidP="00B87B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E716" w14:textId="77777777" w:rsidR="00CC1D51" w:rsidRDefault="00CC1D51" w:rsidP="00B87B02">
      <w:pPr>
        <w:rPr>
          <w:rFonts w:hint="eastAsia"/>
        </w:rPr>
      </w:pPr>
      <w:r>
        <w:separator/>
      </w:r>
    </w:p>
  </w:footnote>
  <w:footnote w:type="continuationSeparator" w:id="0">
    <w:p w14:paraId="54791A30" w14:textId="77777777" w:rsidR="00CC1D51" w:rsidRDefault="00CC1D51" w:rsidP="00B87B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Y1MDdmNDdlZDNjN2QxZDI1MmM0M2M2ZDBhZjU4NDkifQ=="/>
  </w:docVars>
  <w:rsids>
    <w:rsidRoot w:val="00301D32"/>
    <w:rsid w:val="00026CC3"/>
    <w:rsid w:val="00036089"/>
    <w:rsid w:val="0004362A"/>
    <w:rsid w:val="00053CFA"/>
    <w:rsid w:val="000633EC"/>
    <w:rsid w:val="00063804"/>
    <w:rsid w:val="000665A2"/>
    <w:rsid w:val="00071D52"/>
    <w:rsid w:val="000877AB"/>
    <w:rsid w:val="000B7C08"/>
    <w:rsid w:val="000D12CF"/>
    <w:rsid w:val="000D2D88"/>
    <w:rsid w:val="000E4B20"/>
    <w:rsid w:val="0011418F"/>
    <w:rsid w:val="00124CC0"/>
    <w:rsid w:val="00172C24"/>
    <w:rsid w:val="001E59D1"/>
    <w:rsid w:val="001E5EA4"/>
    <w:rsid w:val="002042A7"/>
    <w:rsid w:val="00205911"/>
    <w:rsid w:val="00205CD6"/>
    <w:rsid w:val="0021064B"/>
    <w:rsid w:val="002146AD"/>
    <w:rsid w:val="00263B1C"/>
    <w:rsid w:val="00275CB6"/>
    <w:rsid w:val="002800B5"/>
    <w:rsid w:val="00295B29"/>
    <w:rsid w:val="002D4073"/>
    <w:rsid w:val="002E7098"/>
    <w:rsid w:val="00301D32"/>
    <w:rsid w:val="003409BB"/>
    <w:rsid w:val="00366FAD"/>
    <w:rsid w:val="0037105B"/>
    <w:rsid w:val="003975BA"/>
    <w:rsid w:val="003A74E6"/>
    <w:rsid w:val="003B73DD"/>
    <w:rsid w:val="003D011C"/>
    <w:rsid w:val="0040731E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D5E96"/>
    <w:rsid w:val="004F6FF3"/>
    <w:rsid w:val="005279DE"/>
    <w:rsid w:val="005672CA"/>
    <w:rsid w:val="00571B49"/>
    <w:rsid w:val="005743AE"/>
    <w:rsid w:val="005D1222"/>
    <w:rsid w:val="005D64CA"/>
    <w:rsid w:val="005E5717"/>
    <w:rsid w:val="005E6DB2"/>
    <w:rsid w:val="005F4094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2DC4"/>
    <w:rsid w:val="00733224"/>
    <w:rsid w:val="00764128"/>
    <w:rsid w:val="007824B8"/>
    <w:rsid w:val="007910DD"/>
    <w:rsid w:val="007A3EC1"/>
    <w:rsid w:val="007B3368"/>
    <w:rsid w:val="007C71E9"/>
    <w:rsid w:val="007D0A69"/>
    <w:rsid w:val="007D6DC4"/>
    <w:rsid w:val="00822613"/>
    <w:rsid w:val="00853463"/>
    <w:rsid w:val="00893F25"/>
    <w:rsid w:val="00895035"/>
    <w:rsid w:val="008B2B14"/>
    <w:rsid w:val="008C6AED"/>
    <w:rsid w:val="008C7604"/>
    <w:rsid w:val="008E1B27"/>
    <w:rsid w:val="008F5317"/>
    <w:rsid w:val="00903379"/>
    <w:rsid w:val="00906975"/>
    <w:rsid w:val="00917F0B"/>
    <w:rsid w:val="00917F8B"/>
    <w:rsid w:val="00960964"/>
    <w:rsid w:val="00965E4D"/>
    <w:rsid w:val="009B1D5C"/>
    <w:rsid w:val="009B7515"/>
    <w:rsid w:val="009C2E31"/>
    <w:rsid w:val="009E1955"/>
    <w:rsid w:val="009F120D"/>
    <w:rsid w:val="00A527AA"/>
    <w:rsid w:val="00A5684D"/>
    <w:rsid w:val="00A60AB8"/>
    <w:rsid w:val="00A75C61"/>
    <w:rsid w:val="00A9601B"/>
    <w:rsid w:val="00AD100E"/>
    <w:rsid w:val="00AE1E36"/>
    <w:rsid w:val="00AF1270"/>
    <w:rsid w:val="00AF74AA"/>
    <w:rsid w:val="00B03C2F"/>
    <w:rsid w:val="00B124D6"/>
    <w:rsid w:val="00B15064"/>
    <w:rsid w:val="00B15C3F"/>
    <w:rsid w:val="00B340A3"/>
    <w:rsid w:val="00B410F5"/>
    <w:rsid w:val="00B6280C"/>
    <w:rsid w:val="00B671A4"/>
    <w:rsid w:val="00B72CD4"/>
    <w:rsid w:val="00B85B00"/>
    <w:rsid w:val="00B87B02"/>
    <w:rsid w:val="00B96F27"/>
    <w:rsid w:val="00BF132F"/>
    <w:rsid w:val="00C13878"/>
    <w:rsid w:val="00C2608D"/>
    <w:rsid w:val="00CA1705"/>
    <w:rsid w:val="00CC1D51"/>
    <w:rsid w:val="00CD31EA"/>
    <w:rsid w:val="00CE1A54"/>
    <w:rsid w:val="00CF5FB6"/>
    <w:rsid w:val="00D02518"/>
    <w:rsid w:val="00D17454"/>
    <w:rsid w:val="00D33FBC"/>
    <w:rsid w:val="00D7535C"/>
    <w:rsid w:val="00D76302"/>
    <w:rsid w:val="00D842E9"/>
    <w:rsid w:val="00DA3C29"/>
    <w:rsid w:val="00DA5CE2"/>
    <w:rsid w:val="00DC73E3"/>
    <w:rsid w:val="00DE10E8"/>
    <w:rsid w:val="00E16FDA"/>
    <w:rsid w:val="00E33777"/>
    <w:rsid w:val="00E35F58"/>
    <w:rsid w:val="00E45BD9"/>
    <w:rsid w:val="00E66FFC"/>
    <w:rsid w:val="00E759D6"/>
    <w:rsid w:val="00E84A8C"/>
    <w:rsid w:val="00E976DE"/>
    <w:rsid w:val="00EC0F83"/>
    <w:rsid w:val="00ED46CA"/>
    <w:rsid w:val="00EE3187"/>
    <w:rsid w:val="00EF0890"/>
    <w:rsid w:val="00EF499B"/>
    <w:rsid w:val="00F14977"/>
    <w:rsid w:val="00FB4A08"/>
    <w:rsid w:val="00FC0C2A"/>
    <w:rsid w:val="00FD7F8E"/>
    <w:rsid w:val="00FF11E4"/>
    <w:rsid w:val="04B072D4"/>
    <w:rsid w:val="04B14FFF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79C4B28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522F77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BB96AA0"/>
    <w:rsid w:val="6CC24AB5"/>
    <w:rsid w:val="6D9271B2"/>
    <w:rsid w:val="6E0307C8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A150893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58230"/>
  <w15:docId w15:val="{AD52BCC3-D706-4594-AA6D-D309D32C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1583</Words>
  <Characters>247</Characters>
  <Application>Microsoft Office Word</Application>
  <DocSecurity>0</DocSecurity>
  <Lines>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董事会办公室</cp:lastModifiedBy>
  <cp:revision>30</cp:revision>
  <dcterms:created xsi:type="dcterms:W3CDTF">2022-04-12T06:10:00Z</dcterms:created>
  <dcterms:modified xsi:type="dcterms:W3CDTF">2025-11-03T06:58:00Z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eyJoZGlkIjoiZmNjMDg1ZWJlMjY2ZmI2OGMxMWI5NDhlY2Y0MWJjZTAiLCJ1c2VySWQiOiIzNTQzNzU4NTIifQ==</vt:lpwstr>
  </property>
</Properties>
</file>