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9D" w:rsidRDefault="003754D5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:rsidR="00A77A9D" w:rsidRDefault="003754D5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A77A9D">
        <w:trPr>
          <w:trHeight w:val="1871"/>
        </w:trPr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A77A9D">
        <w:trPr>
          <w:trHeight w:val="1155"/>
        </w:trPr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太平养老、中金资管、</w:t>
            </w:r>
            <w:r>
              <w:rPr>
                <w:rFonts w:ascii="Times New Roman" w:eastAsia="宋体" w:hAnsi="Times New Roman" w:cs="宋体"/>
                <w:szCs w:val="21"/>
              </w:rPr>
              <w:t>Golden pine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>
              <w:rPr>
                <w:rFonts w:ascii="Times New Roman" w:eastAsia="宋体" w:hAnsi="Times New Roman" w:cs="宋体"/>
                <w:szCs w:val="21"/>
              </w:rPr>
              <w:t>Pinebridge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、鹏华基金、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易方达基金、仁桥资本</w:t>
            </w:r>
            <w:r>
              <w:rPr>
                <w:rFonts w:ascii="Times New Roman" w:eastAsia="宋体" w:hAnsi="Times New Roman" w:cs="宋体" w:hint="eastAsia"/>
                <w:szCs w:val="21"/>
              </w:rPr>
              <w:t>等</w:t>
            </w:r>
          </w:p>
        </w:tc>
      </w:tr>
      <w:tr w:rsidR="00A77A9D"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4-17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3</w:t>
            </w:r>
            <w:r>
              <w:rPr>
                <w:rFonts w:ascii="Times New Roman" w:eastAsia="宋体" w:hAnsi="Times New Roman" w:cs="宋体"/>
                <w:szCs w:val="21"/>
              </w:rPr>
              <w:t>0-31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A77A9D"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A77A9D">
        <w:trPr>
          <w:trHeight w:val="1051"/>
        </w:trPr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财务负责人葛瑜斌先生</w:t>
            </w:r>
          </w:p>
        </w:tc>
      </w:tr>
      <w:tr w:rsidR="00A77A9D">
        <w:trPr>
          <w:trHeight w:val="841"/>
        </w:trPr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</w:t>
            </w:r>
          </w:p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:rsidR="00A77A9D" w:rsidRDefault="003754D5" w:rsidP="009939B9">
            <w:pPr>
              <w:numPr>
                <w:ilvl w:val="255"/>
                <w:numId w:val="0"/>
              </w:num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前三季度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经营业绩有所波动，主要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原因是什么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同时，公司订单情况如何？</w:t>
            </w:r>
          </w:p>
          <w:p w:rsidR="00A77A9D" w:rsidRDefault="003754D5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答：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前三季度经营业绩波动，</w:t>
            </w:r>
            <w:r>
              <w:rPr>
                <w:rFonts w:ascii="Times New Roman" w:eastAsia="宋体" w:hAnsi="Times New Roman" w:cs="宋体" w:hint="eastAsia"/>
                <w:szCs w:val="21"/>
              </w:rPr>
              <w:t>主要系</w:t>
            </w:r>
            <w:r>
              <w:rPr>
                <w:rFonts w:ascii="Times New Roman" w:eastAsia="宋体" w:hAnsi="Times New Roman" w:cs="宋体" w:hint="eastAsia"/>
                <w:szCs w:val="21"/>
              </w:rPr>
              <w:t>近期国内用配电招标价格波动较大及医保政策持续深化影响</w:t>
            </w:r>
            <w:r>
              <w:rPr>
                <w:rFonts w:ascii="Times New Roman" w:eastAsia="宋体" w:hAnsi="Times New Roman" w:cs="宋体" w:hint="eastAsia"/>
                <w:szCs w:val="21"/>
              </w:rPr>
              <w:t>。</w:t>
            </w:r>
            <w:r>
              <w:rPr>
                <w:rFonts w:ascii="Times New Roman" w:eastAsia="宋体" w:hAnsi="Times New Roman" w:cs="宋体" w:hint="eastAsia"/>
                <w:szCs w:val="21"/>
              </w:rPr>
              <w:t>从订单方面看</w:t>
            </w:r>
            <w:r>
              <w:rPr>
                <w:rFonts w:ascii="Times New Roman" w:eastAsia="宋体" w:hAnsi="Times New Roman" w:cs="宋体" w:hint="eastAsia"/>
                <w:szCs w:val="21"/>
              </w:rPr>
              <w:t>，公司总体在手订单</w:t>
            </w:r>
            <w:r>
              <w:rPr>
                <w:rFonts w:ascii="Times New Roman" w:eastAsia="宋体" w:hAnsi="Times New Roman" w:cs="宋体" w:hint="eastAsia"/>
                <w:szCs w:val="21"/>
              </w:rPr>
              <w:t>持续增长，特别是海外配电在手订单快速增长。截至</w:t>
            </w:r>
            <w:r>
              <w:rPr>
                <w:rFonts w:ascii="Times New Roman" w:eastAsia="宋体" w:hAnsi="Times New Roman" w:cs="宋体" w:hint="eastAsia"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年三季度末，公司总体在手订单</w:t>
            </w:r>
            <w:r>
              <w:rPr>
                <w:rFonts w:ascii="Times New Roman" w:eastAsia="宋体" w:hAnsi="Times New Roman" w:cs="宋体" w:hint="eastAsia"/>
                <w:szCs w:val="21"/>
              </w:rPr>
              <w:t>179.14</w:t>
            </w:r>
            <w:r>
              <w:rPr>
                <w:rFonts w:ascii="Times New Roman" w:eastAsia="宋体" w:hAnsi="Times New Roman" w:cs="宋体" w:hint="eastAsia"/>
                <w:szCs w:val="21"/>
              </w:rPr>
              <w:t>亿元，同比增长</w:t>
            </w:r>
            <w:r>
              <w:rPr>
                <w:rFonts w:ascii="Times New Roman" w:eastAsia="宋体" w:hAnsi="Times New Roman" w:cs="宋体" w:hint="eastAsia"/>
                <w:szCs w:val="21"/>
              </w:rPr>
              <w:t>14.69%</w:t>
            </w:r>
            <w:r>
              <w:rPr>
                <w:rFonts w:ascii="Times New Roman" w:eastAsia="宋体" w:hAnsi="Times New Roman" w:cs="宋体" w:hint="eastAsia"/>
                <w:szCs w:val="21"/>
              </w:rPr>
              <w:t>；海外配电在手订单</w:t>
            </w:r>
            <w:r>
              <w:rPr>
                <w:rFonts w:ascii="Times New Roman" w:eastAsia="宋体" w:hAnsi="Times New Roman" w:cs="宋体" w:hint="eastAsia"/>
                <w:szCs w:val="21"/>
              </w:rPr>
              <w:t>21.69</w:t>
            </w:r>
            <w:r>
              <w:rPr>
                <w:rFonts w:ascii="Times New Roman" w:eastAsia="宋体" w:hAnsi="Times New Roman" w:cs="宋体" w:hint="eastAsia"/>
                <w:szCs w:val="21"/>
              </w:rPr>
              <w:t>亿元，同比增长</w:t>
            </w:r>
            <w:r>
              <w:rPr>
                <w:rFonts w:ascii="Times New Roman" w:eastAsia="宋体" w:hAnsi="Times New Roman" w:cs="宋体" w:hint="eastAsia"/>
                <w:szCs w:val="21"/>
              </w:rPr>
              <w:t>125.45%</w:t>
            </w:r>
            <w:r>
              <w:rPr>
                <w:rFonts w:ascii="Times New Roman" w:eastAsia="宋体" w:hAnsi="Times New Roman" w:cs="宋体" w:hint="eastAsia"/>
                <w:szCs w:val="21"/>
              </w:rPr>
              <w:t>。</w:t>
            </w:r>
          </w:p>
          <w:p w:rsidR="00A77A9D" w:rsidRDefault="003754D5" w:rsidP="009939B9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2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、公司海外布局有何新的进展？</w:t>
            </w:r>
          </w:p>
          <w:p w:rsidR="00A77A9D" w:rsidRDefault="003754D5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公司继续深耕海外本地化，继今年上半年在欧洲新设匈牙利销司后，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月，公司新设肯尼亚生产基地，进一步布局支撑非洲业务拓展。</w:t>
            </w:r>
          </w:p>
          <w:p w:rsidR="00A77A9D" w:rsidRDefault="003754D5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/>
                <w:bCs/>
                <w:szCs w:val="21"/>
              </w:rPr>
              <w:t>具体看，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海外用电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加快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拓展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潜力市场，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月取得美国智能电表首单突破，中标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.12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亿元美国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Nexgrid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智能电表框架项目，并于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月中标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.19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亿元埃及智能电表项目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。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同时，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海外配电持续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突破目标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lastRenderedPageBreak/>
              <w:t>市场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，继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年上半年连续取得匈牙利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4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.57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亿变压器订单后，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月中标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3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.41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亿元巴西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CPFL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变压器采购框架合同。</w:t>
            </w:r>
          </w:p>
          <w:p w:rsidR="00A77A9D" w:rsidRDefault="003754D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3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公司海外配电的重点区域在哪里？增长的驱动力来自哪里？</w:t>
            </w:r>
          </w:p>
          <w:p w:rsidR="00A77A9D" w:rsidRPr="009939B9" w:rsidRDefault="003754D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9939B9">
              <w:rPr>
                <w:rFonts w:ascii="Times New Roman" w:eastAsia="宋体" w:hAnsi="Times New Roman" w:cs="宋体" w:hint="eastAsia"/>
                <w:szCs w:val="21"/>
              </w:rPr>
              <w:t>答：海外配电方面，公司依托国内</w:t>
            </w:r>
            <w:r w:rsidRPr="009939B9">
              <w:rPr>
                <w:rFonts w:ascii="Times New Roman" w:eastAsia="宋体" w:hAnsi="Times New Roman" w:cs="宋体" w:hint="eastAsia"/>
                <w:szCs w:val="21"/>
              </w:rPr>
              <w:t>20</w:t>
            </w:r>
            <w:r w:rsidRPr="009939B9">
              <w:rPr>
                <w:rFonts w:ascii="Times New Roman" w:eastAsia="宋体" w:hAnsi="Times New Roman" w:cs="宋体" w:hint="eastAsia"/>
                <w:szCs w:val="21"/>
              </w:rPr>
              <w:t>余年配电产品研发制造经验，复用海外</w:t>
            </w:r>
            <w:r w:rsidRPr="009939B9">
              <w:rPr>
                <w:rFonts w:ascii="Times New Roman" w:eastAsia="宋体" w:hAnsi="Times New Roman" w:cs="宋体" w:hint="eastAsia"/>
                <w:szCs w:val="21"/>
              </w:rPr>
              <w:t>10</w:t>
            </w:r>
            <w:r w:rsidRPr="009939B9">
              <w:rPr>
                <w:rFonts w:ascii="Times New Roman" w:eastAsia="宋体" w:hAnsi="Times New Roman" w:cs="宋体" w:hint="eastAsia"/>
                <w:szCs w:val="21"/>
              </w:rPr>
              <w:t>余年用电业务积累的全球化客户资源，重点聚焦欧洲、中东、拉美等优势市场的电网客户持续突破。</w:t>
            </w:r>
          </w:p>
          <w:p w:rsidR="00A77A9D" w:rsidRPr="009939B9" w:rsidRDefault="003754D5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 w:rsidRPr="009939B9">
              <w:rPr>
                <w:rFonts w:ascii="Times New Roman" w:eastAsia="宋体" w:hAnsi="Times New Roman" w:cs="宋体" w:hint="eastAsia"/>
                <w:szCs w:val="21"/>
              </w:rPr>
              <w:t>近年来，全球电网投资规模持续增长，一方面，全球新能源装机规模持续攀升，新能源并网项目积累；另一方面，多数国家电网基础设施面临智能化水平不足，设备老化的问题，老旧电网改造需求迫切；同时，海外的数据中心带动用能质量要求显著提升，拉动配用电投资需求高增。</w:t>
            </w:r>
          </w:p>
          <w:p w:rsidR="00A77A9D" w:rsidRDefault="003754D5" w:rsidP="009939B9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/>
                <w:szCs w:val="21"/>
              </w:rPr>
            </w:pPr>
            <w:r w:rsidRPr="009939B9">
              <w:rPr>
                <w:rFonts w:ascii="Times New Roman" w:eastAsia="宋体" w:hAnsi="Times New Roman" w:cs="宋体" w:hint="eastAsia"/>
                <w:szCs w:val="21"/>
              </w:rPr>
              <w:t>在欧美等发达国家，电网投资的核心驱动力源于能源</w:t>
            </w:r>
            <w:r w:rsidRPr="009939B9">
              <w:rPr>
                <w:rFonts w:ascii="Times New Roman" w:eastAsia="宋体" w:hAnsi="Times New Roman" w:cs="宋体" w:hint="eastAsia"/>
                <w:szCs w:val="21"/>
              </w:rPr>
              <w:t>结构转型与基础设施老化的双重挑战。新兴市场方面，电网建设面临电气化、智能化率低下与电力需求快速增长的机遇。</w:t>
            </w:r>
          </w:p>
          <w:p w:rsidR="00A77A9D" w:rsidRDefault="003754D5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>
              <w:rPr>
                <w:rFonts w:ascii="Times New Roman" w:eastAsia="宋体" w:hAnsi="Times New Roman" w:cs="宋体" w:hint="eastAsia"/>
                <w:b/>
                <w:szCs w:val="21"/>
              </w:rPr>
              <w:t>国内新标准电表招标进展如何？</w:t>
            </w:r>
          </w:p>
          <w:p w:rsidR="00A77A9D" w:rsidRDefault="003754D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答：根据公开信息，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日，国网发布了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年第八十批采购（营销项目第三次计量设备招标采购）的招标公告，电表招标量近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1,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695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万只。根据券商研报信息，本次招标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将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切换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新技术版本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</w:tc>
      </w:tr>
      <w:tr w:rsidR="00A77A9D">
        <w:trPr>
          <w:trHeight w:val="549"/>
        </w:trPr>
        <w:tc>
          <w:tcPr>
            <w:tcW w:w="1145" w:type="pct"/>
            <w:vAlign w:val="center"/>
          </w:tcPr>
          <w:p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:rsidR="00A77A9D" w:rsidRDefault="00A77A9D">
      <w:pPr>
        <w:spacing w:line="360" w:lineRule="auto"/>
        <w:rPr>
          <w:rFonts w:ascii="Times New Roman" w:eastAsia="宋体" w:hAnsi="Times New Roman" w:cs="宋体"/>
        </w:rPr>
      </w:pPr>
    </w:p>
    <w:sectPr w:rsidR="00A77A9D"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D5" w:rsidRDefault="003754D5">
      <w:r>
        <w:separator/>
      </w:r>
    </w:p>
  </w:endnote>
  <w:endnote w:type="continuationSeparator" w:id="0">
    <w:p w:rsidR="003754D5" w:rsidRDefault="0037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Kingsoft Mark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15258"/>
    </w:sdtPr>
    <w:sdtEndPr/>
    <w:sdtContent>
      <w:sdt>
        <w:sdtPr>
          <w:id w:val="1728636285"/>
        </w:sdtPr>
        <w:sdtEndPr/>
        <w:sdtContent>
          <w:p w:rsidR="00A77A9D" w:rsidRDefault="003754D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9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7A9D" w:rsidRDefault="00A77A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D5" w:rsidRDefault="003754D5">
      <w:r>
        <w:separator/>
      </w:r>
    </w:p>
  </w:footnote>
  <w:footnote w:type="continuationSeparator" w:id="0">
    <w:p w:rsidR="003754D5" w:rsidRDefault="0037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202E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51175"/>
    <w:rsid w:val="00152313"/>
    <w:rsid w:val="0015476C"/>
    <w:rsid w:val="00156398"/>
    <w:rsid w:val="00160338"/>
    <w:rsid w:val="001628BB"/>
    <w:rsid w:val="00164714"/>
    <w:rsid w:val="00164B2E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723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21DD"/>
    <w:rsid w:val="00253726"/>
    <w:rsid w:val="0025383E"/>
    <w:rsid w:val="00254D26"/>
    <w:rsid w:val="002556E3"/>
    <w:rsid w:val="0025659B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3A1A"/>
    <w:rsid w:val="003078A0"/>
    <w:rsid w:val="00310091"/>
    <w:rsid w:val="003108ED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6415"/>
    <w:rsid w:val="00326B90"/>
    <w:rsid w:val="00330FC9"/>
    <w:rsid w:val="003312F4"/>
    <w:rsid w:val="00333B38"/>
    <w:rsid w:val="003343C9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FCE"/>
    <w:rsid w:val="004E2E6B"/>
    <w:rsid w:val="004E3C4F"/>
    <w:rsid w:val="004E3C6B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CBF"/>
    <w:rsid w:val="005548D6"/>
    <w:rsid w:val="00555BA1"/>
    <w:rsid w:val="0055714F"/>
    <w:rsid w:val="00557204"/>
    <w:rsid w:val="005664D2"/>
    <w:rsid w:val="005678D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7DDA"/>
    <w:rsid w:val="00590F11"/>
    <w:rsid w:val="0059179E"/>
    <w:rsid w:val="00591ED4"/>
    <w:rsid w:val="00592389"/>
    <w:rsid w:val="00592788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591A"/>
    <w:rsid w:val="005C5DD7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71D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7A4F"/>
    <w:rsid w:val="009011EF"/>
    <w:rsid w:val="00902388"/>
    <w:rsid w:val="00907DD8"/>
    <w:rsid w:val="00907F4E"/>
    <w:rsid w:val="009107E6"/>
    <w:rsid w:val="009119A0"/>
    <w:rsid w:val="00912880"/>
    <w:rsid w:val="00913536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AE"/>
    <w:rsid w:val="00980F8D"/>
    <w:rsid w:val="0098232D"/>
    <w:rsid w:val="00983037"/>
    <w:rsid w:val="00984CAC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384D"/>
    <w:rsid w:val="009A7505"/>
    <w:rsid w:val="009A7E4A"/>
    <w:rsid w:val="009B2943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23F8"/>
    <w:rsid w:val="00AF565C"/>
    <w:rsid w:val="00AF6A20"/>
    <w:rsid w:val="00AF7962"/>
    <w:rsid w:val="00B00F0B"/>
    <w:rsid w:val="00B03CCB"/>
    <w:rsid w:val="00B04739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52C5"/>
    <w:rsid w:val="00B2668F"/>
    <w:rsid w:val="00B26D93"/>
    <w:rsid w:val="00B30338"/>
    <w:rsid w:val="00B31AEC"/>
    <w:rsid w:val="00B32286"/>
    <w:rsid w:val="00B337E4"/>
    <w:rsid w:val="00B35AF9"/>
    <w:rsid w:val="00B370A6"/>
    <w:rsid w:val="00B3795C"/>
    <w:rsid w:val="00B412A3"/>
    <w:rsid w:val="00B42983"/>
    <w:rsid w:val="00B43F91"/>
    <w:rsid w:val="00B45D2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A05C4"/>
    <w:rsid w:val="00BA1A0D"/>
    <w:rsid w:val="00BA7685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2D30"/>
    <w:rsid w:val="00D032A7"/>
    <w:rsid w:val="00D0348E"/>
    <w:rsid w:val="00D046B0"/>
    <w:rsid w:val="00D04CAC"/>
    <w:rsid w:val="00D05EC7"/>
    <w:rsid w:val="00D06D07"/>
    <w:rsid w:val="00D10DA0"/>
    <w:rsid w:val="00D1210A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14DE"/>
    <w:rsid w:val="00D6232B"/>
    <w:rsid w:val="00D62339"/>
    <w:rsid w:val="00D6300D"/>
    <w:rsid w:val="00D639E3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242E"/>
    <w:rsid w:val="00DF5480"/>
    <w:rsid w:val="00DF608A"/>
    <w:rsid w:val="00DF78C2"/>
    <w:rsid w:val="00DF7A04"/>
    <w:rsid w:val="00E058C0"/>
    <w:rsid w:val="00E05F4A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F85"/>
    <w:rsid w:val="00F4401E"/>
    <w:rsid w:val="00F44305"/>
    <w:rsid w:val="00F45141"/>
    <w:rsid w:val="00F46106"/>
    <w:rsid w:val="00F46ABB"/>
    <w:rsid w:val="00F5054D"/>
    <w:rsid w:val="00F51CC6"/>
    <w:rsid w:val="00F52305"/>
    <w:rsid w:val="00F52789"/>
    <w:rsid w:val="00F5326B"/>
    <w:rsid w:val="00F54EDC"/>
    <w:rsid w:val="00F610D1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4887"/>
    <w:rsid w:val="00FA5797"/>
    <w:rsid w:val="00FA5F9A"/>
    <w:rsid w:val="00FA77FF"/>
    <w:rsid w:val="00FB1CA6"/>
    <w:rsid w:val="00FB29DA"/>
    <w:rsid w:val="00FB2FAE"/>
    <w:rsid w:val="00FB7EC1"/>
    <w:rsid w:val="00FC1BA0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864AA9-D30E-415F-8956-FB98F1F0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>AUX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刘泽坪</cp:lastModifiedBy>
  <cp:revision>2</cp:revision>
  <cp:lastPrinted>2025-08-02T22:50:00Z</cp:lastPrinted>
  <dcterms:created xsi:type="dcterms:W3CDTF">2024-02-05T00:09:00Z</dcterms:created>
  <dcterms:modified xsi:type="dcterms:W3CDTF">2025-11-04T03:41:00Z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