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证券代码：</w:t>
      </w:r>
      <w:r>
        <w:rPr>
          <w:rFonts w:hint="eastAsia" w:ascii="宋体" w:hAnsi="宋体" w:eastAsia="宋体"/>
          <w:sz w:val="24"/>
          <w:szCs w:val="24"/>
        </w:rPr>
        <w:t>600887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</w:t>
      </w:r>
      <w:r>
        <w:rPr>
          <w:rFonts w:ascii="宋体" w:hAnsi="宋体" w:eastAsia="宋体"/>
          <w:sz w:val="24"/>
          <w:szCs w:val="24"/>
        </w:rPr>
        <w:t xml:space="preserve">     证券简称：</w:t>
      </w:r>
      <w:r>
        <w:rPr>
          <w:rFonts w:hint="eastAsia" w:ascii="宋体" w:hAnsi="宋体" w:eastAsia="宋体"/>
          <w:sz w:val="24"/>
          <w:szCs w:val="24"/>
        </w:rPr>
        <w:t>伊利股份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内蒙古伊利实业集团股份有限公司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投资者关系活动记录表</w:t>
      </w:r>
    </w:p>
    <w:p>
      <w:pPr>
        <w:spacing w:line="360" w:lineRule="auto"/>
        <w:ind w:right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编号：20251031</w:t>
      </w:r>
    </w:p>
    <w:tbl>
      <w:tblPr>
        <w:tblStyle w:val="9"/>
        <w:tblW w:w="8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特定对象调研 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媒体采访   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新闻发布会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现场参观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参与伊利股份2025年第三季度业绩说明会的广大投资者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间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2025年10月31日上午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9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: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地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点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电话会议及网络音频直播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公司接待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公司董事会秘书邱向敏先生、独立董事纪韶女士、独立董事石芳女士、投资者关系部总经理赵琳女士等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 活动主要内容</w:t>
            </w:r>
          </w:p>
        </w:tc>
        <w:tc>
          <w:tcPr>
            <w:tcW w:w="6793" w:type="dxa"/>
          </w:tcPr>
          <w:p>
            <w:pPr>
              <w:widowControl/>
              <w:shd w:val="clear" w:color="auto" w:fill="FFFFFF"/>
              <w:spacing w:line="360" w:lineRule="auto"/>
              <w:ind w:firstLine="33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投资者关系部总经理赵琳女士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对伊利股份2025年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第三季度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的经营情况和财务表现进行了解读；公司管理层就投资者主要关注的问题与参会者进行了互动交流，互动环节主要内容如下。</w:t>
            </w:r>
          </w:p>
          <w:p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与投资者互动交流环节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Theme="minorEastAsia" w:cstheme="minorBid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4"/>
              </w:rPr>
              <w:t>今年以来的外部环境还是偏弱，但公司前三季度的收入和利润都实现了增长，怎么看公司四季度以及全年的收入和利润率展望呢？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今年消费市场</w:t>
            </w:r>
            <w:r>
              <w:rPr>
                <w:rFonts w:hint="eastAsia"/>
                <w:sz w:val="24"/>
                <w:lang w:eastAsia="zh-CN"/>
              </w:rPr>
              <w:t>的</w:t>
            </w:r>
            <w:r>
              <w:rPr>
                <w:rFonts w:hint="eastAsia"/>
                <w:sz w:val="24"/>
              </w:rPr>
              <w:t>需求未明显改善，上游原奶供给</w:t>
            </w:r>
            <w:r>
              <w:rPr>
                <w:rFonts w:hint="eastAsia"/>
                <w:sz w:val="24"/>
                <w:lang w:val="en-US" w:eastAsia="zh-CN"/>
              </w:rPr>
              <w:t>也继续</w:t>
            </w:r>
            <w:r>
              <w:rPr>
                <w:rFonts w:hint="eastAsia"/>
                <w:sz w:val="24"/>
              </w:rPr>
              <w:t>处于偏多的状态，乳制品行业仍面临供需不平衡的情况。但公司凭借去年主动进行的渠道调整所形成的经营韧性，今年还是得以轻装上阵，液奶业务发展更健康，其他业务延续上半年增长趋势。前三季度，公司收入和扣非净利润均实现同比增长，盈利能力较去年同期有明显改善。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虽然</w:t>
            </w:r>
            <w:r>
              <w:rPr>
                <w:rFonts w:hint="eastAsia"/>
                <w:sz w:val="24"/>
              </w:rPr>
              <w:t>三季度需求尚未出现明显复苏，但</w:t>
            </w:r>
            <w:r>
              <w:rPr>
                <w:sz w:val="24"/>
              </w:rPr>
              <w:t>为了维护渠道健康，也避免经销商的库存高企</w:t>
            </w:r>
            <w:r>
              <w:rPr>
                <w:rFonts w:hint="eastAsia"/>
                <w:sz w:val="24"/>
              </w:rPr>
              <w:t>，公司始终坚持轻库存的渠道管理策略，确保经销商的经营风险可控。从经销商层面来看，也受需求不确定的影响，在备货方面也更加谨慎。所以，三季度公司常温液奶的收入仍有一些下滑。另外，由于2026年春节备货更多集中在明年1月，所以，今年四季度的液奶收入可能也会受到一些春节错配的影响。在利润端，考虑到下半年终端消费力依旧偏弱，公司也不会盲目追求短期业绩规模，而是会以保障长期经营质量为核心。所以，公司还是会顺势而为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一方面，我们将继续推出一些质价比的产品；另一方面，也会继续给渠道一些费用支持，和经销商一起积极拉动终端动销，维护渠道健康。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总的来说，去年是公司蓄势调整的一年；今年，是业绩企稳的一年，依托去年的调整成果，公司液奶的市场份额基本平稳，其他业务也实现了更好的增长。明年，是公司未来五年战略规划的开局年，我们将继续秉承多元化的产品布局，在积极夯实现有核心业务竞争力的基础上，积极探索新的业务增长点；同时，持续推进降本增效，推动公司业务的数字化转型，以技术驱动经营效率的提升，促使公司持续实现高质量发展，从而带动全产业链的健康发展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能否</w:t>
            </w:r>
            <w:r>
              <w:rPr>
                <w:rFonts w:hint="eastAsia"/>
                <w:sz w:val="24"/>
                <w:szCs w:val="24"/>
              </w:rPr>
              <w:t>麻烦公司帮忙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分拆</w:t>
            </w:r>
            <w:r>
              <w:rPr>
                <w:rFonts w:hint="eastAsia"/>
                <w:sz w:val="24"/>
                <w:szCs w:val="24"/>
              </w:rPr>
              <w:t>一下三季度液奶的量、价、结构情况？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以及，</w:t>
            </w:r>
            <w:r>
              <w:rPr>
                <w:rFonts w:hint="eastAsia"/>
                <w:sz w:val="24"/>
                <w:szCs w:val="24"/>
              </w:rPr>
              <w:t>三季度液奶高低端产品的表现分别如何？长期来看，怎么看液奶行业未来的成长空间？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三季度来看，公司液奶的收入表现和终端还是比较匹配的。和去年相比，有两点是向好的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一方面，今年经销商的库存进一步下降，经销商盈利水平有所提升；另一方面，终端价格和产品新鲜度也在持续向好。从前三季度来看，液奶收入下降主要受结构影响</w:t>
            </w:r>
            <w:r>
              <w:rPr>
                <w:rFonts w:hint="eastAsia"/>
                <w:color w:val="auto"/>
                <w:sz w:val="24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销量</w:t>
            </w:r>
            <w:r>
              <w:rPr>
                <w:rFonts w:hint="eastAsia"/>
                <w:color w:val="auto"/>
                <w:sz w:val="24"/>
              </w:rPr>
              <w:t>基本平稳。</w:t>
            </w:r>
            <w:r>
              <w:rPr>
                <w:rFonts w:hint="eastAsia"/>
                <w:sz w:val="24"/>
              </w:rPr>
              <w:t>从各品类的终端表现来看，乳饮料收入是增长的，白奶和酸奶收入有所下滑。白奶品类中，基础白奶表现更好一些。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展望明年，预计行业需求仍会受到消费大环境的影响，但对公司来说，我们还是会一如既往地积极把握一切增长机会，希望继续通过产品创新、渠道和消费场景拓展等多种举措，实现比行业更好的表现，进一步巩固行业领先地位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更长期来看，随着消费多元化趋势的发展，行业仍有很大的结构性增长空间。公司会继续以消费者需求为导向，持续优化经营策略，不断夯实业务的综合竞争能力。我们相信，随着消费者信心指数的逐步企稳，行业供需格局的持续改善，叠加公司在产业链上下游所做的一系列夯实业务基础、挖掘增长潜力的努力，未来，公司一定会实现稳健、可持续的增长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从三季度以来的行业状况来看，公司对今年和明年的行业供需变化有什么看法？预计何时会实现供需平衡？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今年以来，原奶供需一直朝着好的方向发展。奶牛存栏量下降，散奶价格比去年有所提升；同时，公司也在通过布局乳深加工业务、推出一些高质价比产品等方式来增加耗奶量，平滑原奶周期对于业务的影响。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今年8-9月份，因为双节需求提升，公司没有喷粉，原奶采购价格环比基本持平。四季度是牧场收青贮的时间，部分牧场受限于现金流情况可能会退出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 xml:space="preserve">我们判断，后续原奶供需还会继续朝着平衡的方向发展。   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来看，随着上游养殖技术的不断突破，国内原奶品质已经处于国际领先水平，原奶生产成本基本追平海外，这为国内大包粉、乳脂乳酪以及其他深加工业务的国产替代打下了好的基础，再加上上下游企业的联结更加紧密，规模化牧场占比不断提升，原奶价格的波动也有望弱化。对于公司来说，我们在上游布局多年，与上游牧场建立了紧密的合作关系，无论是合作的牧场规模，还是上游技术的储备，都是行业领先的，上游原奶资源将进一步成为公司发展的核心竞争力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目前，行业竞争状况如何？公司对明年的竞争状况如何判断？基于此，公司的产品和价格策略是什么？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今年宏观消费还是偏弱，加上原奶供给充足，所以行业的价格竞争还是比较激烈的。但是公司还是希望维护行业生态健康，不希望通过过度的价格战破坏产业链的稳定。所以，公司更多通过创新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产品和营销方式，精准聚焦细分人群与消费场景，挖掘更多消费者需求。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三季度公司推出了不少好产品，也有一些出圈的营销方式。像三季度推出的金典鲜活纯牛奶，是一款常温短保产品，满足了消费者对于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牛奶</w:t>
            </w:r>
            <w:r>
              <w:rPr>
                <w:rFonts w:hint="eastAsia"/>
                <w:sz w:val="24"/>
                <w:szCs w:val="24"/>
              </w:rPr>
              <w:t>鲜活和便捷的追求，受到了消费者的青睐。在营销方面，无论是伊利品牌和苏超足球联赛的合作，还是金典小牛包装盒在网上的爆火，都源自公司对于消费者的深刻洞察和强大的创新营销能力。今年，公司还应用数字化手段赋能营销，比如金典采用物码营销的方式，可以在不同区域更加灵活地应对竞争。同时，我们也推出一些高质价比的产品，在封闭渠道进行销售，这对于应对地方品牌的价格冲击，也有一定的效果。通过这些措施，公司今年的市场份额保持稳定，竞争对于公司业绩的影响可控。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未来，公司会始终以消费者为中心，通过不断挖掘新的机会来实现增长。同时，随着原奶价格的逐步回升，行业竞争也会趋于合理，龙头企业的优势会进一步显现。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“两油一酪”等深加工产品的发展空间如何？公司的产能和品类布局如何考虑？业绩盈利能力如何展望？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于深加工业务，公司很早就有布局。自收购西部乳业后，公司开始逐步把产能聚焦到高附加值产品上，在淡奶油、黄油等产品的基础上，进一步布局了乳铁蛋白、浓缩乳清蛋白、酪蛋白等专业原料。今年三季度，我们在国内的深加工生产线也开始投产，未来，产能会逐步爬坡，公司也会推出更多高附加值产品。</w:t>
            </w:r>
          </w:p>
          <w:p>
            <w:pPr>
              <w:pStyle w:val="2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随着公司在深加工领域的持续探索，目前，公司产品的价格、品质和客户服务都已经有一定的行业竞争力。公司也在积极与奶茶店、烘焙店和餐饮店紧密合作，推出多款定制产品，逐步抢占外资品牌的份额。前三季度，公司奶酪事业部的奶酪、黄油、奶油等2B产品有超过20%的增长。</w:t>
            </w:r>
          </w:p>
          <w:p>
            <w:pPr>
              <w:pStyle w:val="2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否认，国内的深加工业务还处在行业的起步阶段。对于公司而言，未来，我们会继续依托国家乳业创新中心的研发实力，进一步提升公司的乳深加工生产技术，推出更多更高附加值的产品，助力公司盈利能力的不断改善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公司的出海业务也做了比较长的时间，通过这些年，公司积累了哪些国际市场的经验和竞争优势？在不同的海外国家有什么样差异化的布局策略？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公司的国际化业务已经积累了十多年的经验，我们在全球布局了多处高价值原料和产品的生产基地，现在整体业务已形成了一定的规模。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不同的海外市场，公司会摸索最适合当地的运营模式，并通过深化本地化运营持续扩大业务规模。在东南亚市场，公司在泰国收购了当地备受认可的冷饮品牌Cremo，在该品牌下推出了更多多元化的产品组合，助力市场份额提升至前三名；今年三季度，Cremo也登陆了沙特市场，持续拓展其他海外市场的布局。在印尼，公司通过自建冷饮工厂和品牌Joyday，围绕当地市场和消费者需求加速创新本土化产品，提高品牌竞争力；同时持续进行渠道建设和新客户开发，Joyday品牌现在也已经进入了印尼冷饮市场的第一梯队。未来，公司也会在东南亚市场继续拓展乳饮料等其他乳制品品类，进一步丰富海外业务的品类结构。中长期来看，公司在巩固现有东南亚市场的基础上，还将聚焦非洲、中东等高增长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潜力市场，为海外业务的持续扩张寻找新的增长点。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未来，在海外业务运营能力方面，公司将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eastAsia"/>
                <w:sz w:val="24"/>
                <w:szCs w:val="24"/>
              </w:rPr>
              <w:t>整合集团资源，提升本土消费者洞察和本土研发创新能力。同时，持续优化国际供应链体系，实现国内外市场的高效联动。多措并举，推动公司海外业务的高质量发展。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今年以来，公司婴幼儿奶粉的表现一直都很亮眼，这个趋势能否延续到四季度？公司生育补贴的进展如何，对销量的拉动作用如何？公司对于未来行业增长空间如何判断？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今年</w:t>
            </w:r>
            <w:r>
              <w:rPr>
                <w:rFonts w:hint="eastAsia"/>
                <w:sz w:val="24"/>
                <w:szCs w:val="24"/>
              </w:rPr>
              <w:t>三季度，公司婴幼儿奶粉业务延续了今年上半年的亮眼表现，前三季度实现了双位数增长，这一成绩的取得主要源于公司在品牌深耕、产品创新和渠道建设三方面的协同发力。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端，公司推动品牌高端化升级和媒介数字化转型，叠加公司全生命周期会员服务带来的口碑沉淀，推动了用户复购率与品牌忠诚度的稳步增长。产品端，公司持续深耕母乳研究，不断进行配方创新与工艺升级，同时布局特医产品，以及营养补充剂、婴儿水等周边品类，形成全品类竞争优势。渠道端，线下依托“领婴汇”生态平台与头部母婴系统深化合作；同时，公司也积极把握消费的线上化趋势，持续提升店铺、直播、内容等自运营能力，电商渠道实现了快速增长。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公司的16亿生育补贴得到了消费者的广泛认可，通过生育补贴的刺激，公司一段奶粉的增速快于二段及三段奶粉，成为拉动婴幼儿奶粉销量增长的重要动力。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，随着消费者对高品质、功能性婴幼儿奶粉的需求升级，也将推动行业的高端化进程。对公司而言，依托在产品研发创新、全渠道布局以及品牌和会员上的深厚积累，我们有信心在行业中把握更多机会，实现市场份额的持续提升，不断巩固公司的龙头地位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这两年，一些地方品牌和公司的低温业务增长都很不错，是什么驱动了公司低温业务的增长，这种增长是否可以持续？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尼尔森数据来看，行业今年还是面临一定挑战的。但行业中创新能力比较强、区域更聚焦，更能把握住渠道机会的公司今年表现不错。公司今年三季度延续了上半年的趋势，实现了逆势增长。产品端，公司推出了更多新口味和更具健康属性的产品，满足了消费者对美味和健康的诉求；渠道端，在多元化的渠道拓展上，公司取得了不错的进展，新兴渠道实现了双位数增长。</w:t>
            </w:r>
          </w:p>
          <w:p>
            <w:pPr>
              <w:pStyle w:val="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关于低温酸奶业务，公司更聚焦核心产品，以提升经销商的盈利能力。同时，通过推出创新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爆品拉动销量增长，比如畅轻新口味的爆珠酸奶、奶皮子酸奶、小奶壶等表现都很好。公司也在与渠道做深度合作，推出了一些渠道定制产品和特殊渠道产品，如酸奶航空杯、每益添的山姆定制产品等。</w:t>
            </w:r>
          </w:p>
          <w:p>
            <w:pPr>
              <w:pStyle w:val="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鲜奶业务，公司也在继续完善产品布局，金典鲜奶主打高端品牌，同时，公司也推出了天然牧场产品，来加强多价位带的布局。在渠道定制化产品的带动下，公司鲜奶的渗透率持续提升，助力鲜奶业务前三季度实现双位数增长。</w:t>
            </w:r>
          </w:p>
          <w:p>
            <w:pPr>
              <w:pStyle w:val="2"/>
              <w:numPr>
                <w:ilvl w:val="0"/>
                <w:numId w:val="10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看好低温业务的长期发展空间。对于低温酸奶业务，公司会通过持续的产品创新，不断优化产品结构。对于低温鲜奶业务，在保持较快增长的同时，我们也会持续探索盈利模式，随着业务规模的逐步扩大，相信盈利性也会越来越好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今年，公司成人奶粉的增长情况如何？未来，公司在成人营养品方面的发展策略是什么？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1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为行业龙头，公司的成人奶粉市场份额已连续多年稳居行业第一。今年，公司凭借差异化的产品布局，推出更多强功能的成人奶粉，实现了比行业更好地增长，无论是收入还是盈利表现都优于我们年初的目标。同时，我们也抓住了今年双节的礼赠需求，成人奶粉尤其是高端功能产品的礼赠属性得以充分释放，成为了拉动三季度业务增长的重要动力。截至今年三季度，公司成人奶粉市占率同比提升1.3个百分点。</w:t>
            </w:r>
          </w:p>
          <w:p>
            <w:pPr>
              <w:pStyle w:val="2"/>
              <w:numPr>
                <w:ilvl w:val="0"/>
                <w:numId w:val="1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来看，今年我们重点发力功能型产品，推出了多款精准匹配需求的新品：比如与同仁堂联名的欣活系列膳底奶粉，上市后收到了很好的消费者反馈；同时，公司持续布局稀有奶源，羊奶粉以及驼奶粉等高端品类也有不错的增长。全年来看，预计公司成人营养品业务仍将保持较快增长，进一步巩固市场的领先地位。</w:t>
            </w:r>
          </w:p>
          <w:p>
            <w:pPr>
              <w:pStyle w:val="2"/>
              <w:numPr>
                <w:ilvl w:val="0"/>
                <w:numId w:val="1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来看，成人营养品的增长潜力还是非常大的。现在新老年群体的健康意识越来越强，对功能营养的认知也在提升，加上银发经济是比较明确的大赛道，消费者对于成人营养品的认知和需求也会逐步提升。未来，公司会继续以乳基为核心，深耕中式膳食、药食同源的方向；同时，在稳固成人奶粉业务基本盘的基础上，还会拓展功能保健食品新赛道，争取覆盖到更多不同年龄、不同需求的人群。此外，我们还会加速推进渠道多元化的布局，加强消费者运营，让产品更精准地触达消费者。希望通过布局更多高端功能型产品，让成人营养品业务保持收入高质量增长的同时，进一步提升自身的盈利能力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今年，公司推出了中期分红。未来几年，公司在分红策略上还会有什么变化吗？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公司一直以来都非常重视投资者回报，过去一直保持着较高的分红水平。今年，为了积极响应政策要求，更好地回馈投资者，公司在常规年度分红的基础上，进一步推出了中期分红方案。</w:t>
            </w:r>
          </w:p>
          <w:p>
            <w:pPr>
              <w:pStyle w:val="2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未来几年，至于是否仍采用中期分红的形式，还要综合考虑公司的经营节奏和现金流等因素，在不影响公司正常经营的前提下，公司希望继续以灵活地方式回报股东。</w:t>
            </w:r>
          </w:p>
          <w:p>
            <w:pPr>
              <w:pStyle w:val="2"/>
              <w:numPr>
                <w:ilvl w:val="0"/>
                <w:numId w:val="1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将始终以稳健经营为核心，聚焦主营业务深耕与核心竞争力提升，努力实现业绩的稳步增长，在保障公司健康发展所需的资金需求的前提下，积极通过现金分红、股份回购等多元化方式，将经营成果转化为股东收益，以稳定的投资回报，持续回馈广大股东的信任与支持，努力实现公司价值与股东利益的长期共赢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公司当前新渠道的收入占比大致是多少？这些新渠道的利润率情况如何？灵活化、定制化和细分化的发展趋势是否对组织架构提出了相应的调整要求？</w:t>
            </w:r>
          </w:p>
          <w:p>
            <w:pPr>
              <w:pStyle w:val="2"/>
              <w:spacing w:line="36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公司液奶新渠道（包括零售折扣店、会员店、电商等渠道）的占比已接近液奶业务收入的30%。在不同的新渠道中，盈利表现因产品适配和消费群体差异而有所不同。在山姆会员店等高端会员渠道，公司通过提供定制化的高低温牛奶、奶粉、奶酪、冷饮等高附加值产品，凭借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/>
                <w:sz w:val="24"/>
                <w:szCs w:val="24"/>
              </w:rPr>
              <w:t>的产品结构和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较高的</w:t>
            </w:r>
            <w:r>
              <w:rPr>
                <w:rFonts w:hint="eastAsia"/>
                <w:sz w:val="24"/>
                <w:szCs w:val="24"/>
              </w:rPr>
              <w:t>选品成功率，实现了较好的盈利水平；在零食折扣店等追求极致性价比的渠道，公司则通过定制小包装产品和硬折扣模式进行布局。公司在新渠道整体是盈利的，但利润结构有所差异。</w:t>
            </w:r>
          </w:p>
          <w:p>
            <w:pPr>
              <w:pStyle w:val="2"/>
              <w:numPr>
                <w:ilvl w:val="0"/>
                <w:numId w:val="13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公司也</w:t>
            </w:r>
            <w:r>
              <w:rPr>
                <w:rFonts w:hint="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/>
                <w:sz w:val="24"/>
                <w:szCs w:val="24"/>
              </w:rPr>
              <w:t>通过夯实立体化渠道策略，快速响应渠道和消费方式的多元化趋势，并针对不同渠道特点开发适配产品，以提升市场渗透率，并满足消费者的多元化需求。这些变化也促使公司在组织架构上进行相应调整，以支持更加灵活、细分和定制化的运营模式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附件清单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53364"/>
    <w:multiLevelType w:val="multilevel"/>
    <w:tmpl w:val="8D45336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B6F241DF"/>
    <w:multiLevelType w:val="multilevel"/>
    <w:tmpl w:val="B6F241D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F1D8F300"/>
    <w:multiLevelType w:val="multilevel"/>
    <w:tmpl w:val="F1D8F30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F9093337"/>
    <w:multiLevelType w:val="multilevel"/>
    <w:tmpl w:val="F909333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01F55EA"/>
    <w:multiLevelType w:val="multilevel"/>
    <w:tmpl w:val="001F55E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2520211"/>
    <w:multiLevelType w:val="multilevel"/>
    <w:tmpl w:val="125202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174900AA"/>
    <w:multiLevelType w:val="multilevel"/>
    <w:tmpl w:val="174900A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9B94716"/>
    <w:multiLevelType w:val="multilevel"/>
    <w:tmpl w:val="29B94716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3C05C6ED"/>
    <w:multiLevelType w:val="multilevel"/>
    <w:tmpl w:val="3C05C6E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0A71950"/>
    <w:multiLevelType w:val="multilevel"/>
    <w:tmpl w:val="40A7195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51DD5CE1"/>
    <w:multiLevelType w:val="multilevel"/>
    <w:tmpl w:val="51DD5CE1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CC9E4C5"/>
    <w:multiLevelType w:val="multilevel"/>
    <w:tmpl w:val="5CC9E4C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E2225E4"/>
    <w:multiLevelType w:val="multilevel"/>
    <w:tmpl w:val="7E2225E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TViZDJlMzUzYWZhOTIxYzA0YjAwNjY1MzVkNjYifQ=="/>
  </w:docVars>
  <w:rsids>
    <w:rsidRoot w:val="2E635145"/>
    <w:rsid w:val="00010E8C"/>
    <w:rsid w:val="0001154A"/>
    <w:rsid w:val="00044F71"/>
    <w:rsid w:val="00083D45"/>
    <w:rsid w:val="000B316F"/>
    <w:rsid w:val="000C667E"/>
    <w:rsid w:val="000E4957"/>
    <w:rsid w:val="001200A4"/>
    <w:rsid w:val="00126519"/>
    <w:rsid w:val="00130964"/>
    <w:rsid w:val="00132C3E"/>
    <w:rsid w:val="001352F3"/>
    <w:rsid w:val="0014423E"/>
    <w:rsid w:val="00144AE9"/>
    <w:rsid w:val="00192DAB"/>
    <w:rsid w:val="001E444B"/>
    <w:rsid w:val="002067DF"/>
    <w:rsid w:val="00230030"/>
    <w:rsid w:val="00253489"/>
    <w:rsid w:val="00281D15"/>
    <w:rsid w:val="002F5122"/>
    <w:rsid w:val="003836A3"/>
    <w:rsid w:val="003D7123"/>
    <w:rsid w:val="003E1D42"/>
    <w:rsid w:val="003F7216"/>
    <w:rsid w:val="00446E1E"/>
    <w:rsid w:val="00483B76"/>
    <w:rsid w:val="00496971"/>
    <w:rsid w:val="00555E01"/>
    <w:rsid w:val="00595F3B"/>
    <w:rsid w:val="005B041D"/>
    <w:rsid w:val="005B7E4E"/>
    <w:rsid w:val="005D1C06"/>
    <w:rsid w:val="005D6E8B"/>
    <w:rsid w:val="00600A78"/>
    <w:rsid w:val="00606CAC"/>
    <w:rsid w:val="00633A6A"/>
    <w:rsid w:val="0064520F"/>
    <w:rsid w:val="00662925"/>
    <w:rsid w:val="00662C03"/>
    <w:rsid w:val="006842C2"/>
    <w:rsid w:val="006941A8"/>
    <w:rsid w:val="006B4C14"/>
    <w:rsid w:val="006E3627"/>
    <w:rsid w:val="0075484A"/>
    <w:rsid w:val="007958F4"/>
    <w:rsid w:val="007977EE"/>
    <w:rsid w:val="007A1A36"/>
    <w:rsid w:val="007F3AA6"/>
    <w:rsid w:val="00862836"/>
    <w:rsid w:val="00877614"/>
    <w:rsid w:val="00881EA3"/>
    <w:rsid w:val="008C0533"/>
    <w:rsid w:val="009262CC"/>
    <w:rsid w:val="00962233"/>
    <w:rsid w:val="0098660C"/>
    <w:rsid w:val="00993646"/>
    <w:rsid w:val="009A3A30"/>
    <w:rsid w:val="009A624F"/>
    <w:rsid w:val="009A7A91"/>
    <w:rsid w:val="009B67C7"/>
    <w:rsid w:val="009C2105"/>
    <w:rsid w:val="009E5D0D"/>
    <w:rsid w:val="00A14BDA"/>
    <w:rsid w:val="00A37116"/>
    <w:rsid w:val="00AB68D4"/>
    <w:rsid w:val="00AD5A98"/>
    <w:rsid w:val="00AE1B4C"/>
    <w:rsid w:val="00AF2E5A"/>
    <w:rsid w:val="00B22B4E"/>
    <w:rsid w:val="00B32804"/>
    <w:rsid w:val="00B401DC"/>
    <w:rsid w:val="00B40AA9"/>
    <w:rsid w:val="00B47669"/>
    <w:rsid w:val="00B56A99"/>
    <w:rsid w:val="00BA5D2F"/>
    <w:rsid w:val="00BB1E39"/>
    <w:rsid w:val="00C033D0"/>
    <w:rsid w:val="00C06404"/>
    <w:rsid w:val="00C06AA6"/>
    <w:rsid w:val="00C67F1E"/>
    <w:rsid w:val="00C773F9"/>
    <w:rsid w:val="00C90867"/>
    <w:rsid w:val="00C97F81"/>
    <w:rsid w:val="00CD4B45"/>
    <w:rsid w:val="00CE0D84"/>
    <w:rsid w:val="00D10315"/>
    <w:rsid w:val="00D124C7"/>
    <w:rsid w:val="00D251A4"/>
    <w:rsid w:val="00D402C8"/>
    <w:rsid w:val="00DF5E1C"/>
    <w:rsid w:val="00E310F9"/>
    <w:rsid w:val="00E75DD5"/>
    <w:rsid w:val="00EE5E15"/>
    <w:rsid w:val="00F03D2C"/>
    <w:rsid w:val="00F23092"/>
    <w:rsid w:val="00F261E0"/>
    <w:rsid w:val="00F32D12"/>
    <w:rsid w:val="00F34208"/>
    <w:rsid w:val="00F35810"/>
    <w:rsid w:val="00F933A0"/>
    <w:rsid w:val="00F95B88"/>
    <w:rsid w:val="00FA542C"/>
    <w:rsid w:val="00FA6C8C"/>
    <w:rsid w:val="00FB58E1"/>
    <w:rsid w:val="00FE7A38"/>
    <w:rsid w:val="00FF0A44"/>
    <w:rsid w:val="01F929CC"/>
    <w:rsid w:val="02AF0D50"/>
    <w:rsid w:val="038F26A8"/>
    <w:rsid w:val="060C54F8"/>
    <w:rsid w:val="064F5E39"/>
    <w:rsid w:val="06987993"/>
    <w:rsid w:val="06A04E02"/>
    <w:rsid w:val="06BC733B"/>
    <w:rsid w:val="07C95CF0"/>
    <w:rsid w:val="08B6639E"/>
    <w:rsid w:val="090A732E"/>
    <w:rsid w:val="09395F07"/>
    <w:rsid w:val="0C2D18F6"/>
    <w:rsid w:val="0C74502C"/>
    <w:rsid w:val="0C9E435B"/>
    <w:rsid w:val="0E2424C2"/>
    <w:rsid w:val="0E4D5FDC"/>
    <w:rsid w:val="0E920D59"/>
    <w:rsid w:val="0EF6378D"/>
    <w:rsid w:val="0F0138F8"/>
    <w:rsid w:val="0F4B438A"/>
    <w:rsid w:val="108F72CF"/>
    <w:rsid w:val="10FE35F1"/>
    <w:rsid w:val="131045CF"/>
    <w:rsid w:val="13C93A11"/>
    <w:rsid w:val="14B50337"/>
    <w:rsid w:val="15B90D9B"/>
    <w:rsid w:val="16D1773D"/>
    <w:rsid w:val="1715118A"/>
    <w:rsid w:val="171F23D0"/>
    <w:rsid w:val="172140B1"/>
    <w:rsid w:val="17D740F9"/>
    <w:rsid w:val="18407749"/>
    <w:rsid w:val="184E0F20"/>
    <w:rsid w:val="18605DE5"/>
    <w:rsid w:val="198E5D7A"/>
    <w:rsid w:val="19AE65EC"/>
    <w:rsid w:val="1AE828E6"/>
    <w:rsid w:val="1B1C7A57"/>
    <w:rsid w:val="1B80768D"/>
    <w:rsid w:val="1B934FF1"/>
    <w:rsid w:val="1C4645D0"/>
    <w:rsid w:val="1CC00DAD"/>
    <w:rsid w:val="1ECD61E9"/>
    <w:rsid w:val="1EEE1596"/>
    <w:rsid w:val="1FB83C86"/>
    <w:rsid w:val="23191664"/>
    <w:rsid w:val="24F757CD"/>
    <w:rsid w:val="2616714B"/>
    <w:rsid w:val="28AB0525"/>
    <w:rsid w:val="292F1545"/>
    <w:rsid w:val="2A6D642C"/>
    <w:rsid w:val="2B121403"/>
    <w:rsid w:val="2B627ADB"/>
    <w:rsid w:val="2B7620B2"/>
    <w:rsid w:val="2B7F7663"/>
    <w:rsid w:val="2BF116F8"/>
    <w:rsid w:val="2C10540C"/>
    <w:rsid w:val="2CC6737D"/>
    <w:rsid w:val="2DC248E6"/>
    <w:rsid w:val="2DEE0CB6"/>
    <w:rsid w:val="2DF728E0"/>
    <w:rsid w:val="2E635145"/>
    <w:rsid w:val="2EB83630"/>
    <w:rsid w:val="2F327D37"/>
    <w:rsid w:val="3000208D"/>
    <w:rsid w:val="3068017B"/>
    <w:rsid w:val="316D5879"/>
    <w:rsid w:val="31731DEB"/>
    <w:rsid w:val="31D74291"/>
    <w:rsid w:val="3244205C"/>
    <w:rsid w:val="32BE4D29"/>
    <w:rsid w:val="32C30A6D"/>
    <w:rsid w:val="335A39D9"/>
    <w:rsid w:val="33DB0823"/>
    <w:rsid w:val="33F01994"/>
    <w:rsid w:val="33FB321D"/>
    <w:rsid w:val="34F41330"/>
    <w:rsid w:val="351C2CE5"/>
    <w:rsid w:val="3595191B"/>
    <w:rsid w:val="36192435"/>
    <w:rsid w:val="3788046B"/>
    <w:rsid w:val="379D4EE8"/>
    <w:rsid w:val="3A0A3491"/>
    <w:rsid w:val="3B174B7D"/>
    <w:rsid w:val="3B5D02B1"/>
    <w:rsid w:val="3B8F4524"/>
    <w:rsid w:val="3CC145BF"/>
    <w:rsid w:val="3CCE34CE"/>
    <w:rsid w:val="3D0362BE"/>
    <w:rsid w:val="3DF91E60"/>
    <w:rsid w:val="3F0516CF"/>
    <w:rsid w:val="3F907822"/>
    <w:rsid w:val="41393424"/>
    <w:rsid w:val="41C71EA2"/>
    <w:rsid w:val="41C85B1F"/>
    <w:rsid w:val="4297065D"/>
    <w:rsid w:val="433462CB"/>
    <w:rsid w:val="43BB2110"/>
    <w:rsid w:val="444A2148"/>
    <w:rsid w:val="45796A8A"/>
    <w:rsid w:val="45852BBC"/>
    <w:rsid w:val="46821149"/>
    <w:rsid w:val="46E134C6"/>
    <w:rsid w:val="48846629"/>
    <w:rsid w:val="48B64424"/>
    <w:rsid w:val="48BC1AE9"/>
    <w:rsid w:val="4938627E"/>
    <w:rsid w:val="49E403DD"/>
    <w:rsid w:val="4B0C2D59"/>
    <w:rsid w:val="4C374E2B"/>
    <w:rsid w:val="4D5B07C5"/>
    <w:rsid w:val="4D773D37"/>
    <w:rsid w:val="4DC7795F"/>
    <w:rsid w:val="4DCD24F0"/>
    <w:rsid w:val="4DD679BB"/>
    <w:rsid w:val="4E8E2CB9"/>
    <w:rsid w:val="4F4B5663"/>
    <w:rsid w:val="4FE1098A"/>
    <w:rsid w:val="4FE84502"/>
    <w:rsid w:val="50630F63"/>
    <w:rsid w:val="50DA06FD"/>
    <w:rsid w:val="51642303"/>
    <w:rsid w:val="535B1C6C"/>
    <w:rsid w:val="53B63635"/>
    <w:rsid w:val="54F72FD6"/>
    <w:rsid w:val="555720C9"/>
    <w:rsid w:val="558E7E27"/>
    <w:rsid w:val="56BA40C0"/>
    <w:rsid w:val="56DE5525"/>
    <w:rsid w:val="57E029F3"/>
    <w:rsid w:val="58E306E1"/>
    <w:rsid w:val="59050C34"/>
    <w:rsid w:val="591F1927"/>
    <w:rsid w:val="5A0929FE"/>
    <w:rsid w:val="5A3B24DB"/>
    <w:rsid w:val="5A807916"/>
    <w:rsid w:val="5B4D5290"/>
    <w:rsid w:val="5B4D7F11"/>
    <w:rsid w:val="5CBE3A51"/>
    <w:rsid w:val="5D6B01A3"/>
    <w:rsid w:val="5DB226B9"/>
    <w:rsid w:val="5E005444"/>
    <w:rsid w:val="5EA73109"/>
    <w:rsid w:val="5EF214B0"/>
    <w:rsid w:val="5F5A1C09"/>
    <w:rsid w:val="61B7774F"/>
    <w:rsid w:val="62D47345"/>
    <w:rsid w:val="62FB5527"/>
    <w:rsid w:val="646060B2"/>
    <w:rsid w:val="64A02626"/>
    <w:rsid w:val="654A165E"/>
    <w:rsid w:val="65C52884"/>
    <w:rsid w:val="67432E94"/>
    <w:rsid w:val="684974C8"/>
    <w:rsid w:val="68D53B49"/>
    <w:rsid w:val="69B17059"/>
    <w:rsid w:val="6A0466C0"/>
    <w:rsid w:val="6A635367"/>
    <w:rsid w:val="6BC62D80"/>
    <w:rsid w:val="6BFB4E88"/>
    <w:rsid w:val="6C8379B0"/>
    <w:rsid w:val="6CD64211"/>
    <w:rsid w:val="6CEE7F0E"/>
    <w:rsid w:val="6CFD2B1A"/>
    <w:rsid w:val="6D5879DB"/>
    <w:rsid w:val="6E1042D9"/>
    <w:rsid w:val="6E180F22"/>
    <w:rsid w:val="6E9767E0"/>
    <w:rsid w:val="6F07071C"/>
    <w:rsid w:val="6F506472"/>
    <w:rsid w:val="705A5CD5"/>
    <w:rsid w:val="70DE2E4E"/>
    <w:rsid w:val="7136141D"/>
    <w:rsid w:val="72AB6C13"/>
    <w:rsid w:val="72ED1C9C"/>
    <w:rsid w:val="730C1FAE"/>
    <w:rsid w:val="731F1B51"/>
    <w:rsid w:val="7338392C"/>
    <w:rsid w:val="738A53E9"/>
    <w:rsid w:val="739B1FB0"/>
    <w:rsid w:val="73A03F55"/>
    <w:rsid w:val="73E04245"/>
    <w:rsid w:val="7424676D"/>
    <w:rsid w:val="74961D43"/>
    <w:rsid w:val="7502130E"/>
    <w:rsid w:val="757F6CCB"/>
    <w:rsid w:val="76E935EC"/>
    <w:rsid w:val="77B51626"/>
    <w:rsid w:val="798B2326"/>
    <w:rsid w:val="79A008A4"/>
    <w:rsid w:val="7AF80033"/>
    <w:rsid w:val="7D1B208A"/>
    <w:rsid w:val="7D790212"/>
    <w:rsid w:val="7E101203"/>
    <w:rsid w:val="7ED82FCE"/>
    <w:rsid w:val="7FF78E8B"/>
    <w:rsid w:val="DFEEAC96"/>
    <w:rsid w:val="F7FA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3156</Words>
  <Characters>3251</Characters>
  <Lines>162</Lines>
  <Paragraphs>15</Paragraphs>
  <TotalTime>328</TotalTime>
  <ScaleCrop>false</ScaleCrop>
  <LinksUpToDate>false</LinksUpToDate>
  <CharactersWithSpaces>6392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2023-05-02T13:15:00Z</dcterms:created>
  <dc:creator>夏海燕</dc:creator>
  <cp:lastModifiedBy>搬不动</cp:lastModifiedBy>
  <dcterms:modified xsi:type="dcterms:W3CDTF">2025-11-04T09:18:27Z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C047120211A16BDE0CB25F637EB194B6</vt:lpwstr>
  </property>
</Properties>
</file>