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12" w:rsidRDefault="00AF531F">
      <w:pPr>
        <w:spacing w:after="240"/>
        <w:jc w:val="center"/>
        <w:rPr>
          <w:rFonts w:ascii="黑体" w:eastAsia="黑体" w:hAnsi="黑体"/>
          <w:color w:val="FF0000"/>
          <w:sz w:val="30"/>
          <w:szCs w:val="30"/>
        </w:rPr>
      </w:pPr>
      <w:r>
        <w:rPr>
          <w:rFonts w:ascii="黑体" w:eastAsia="黑体" w:hAnsi="黑体" w:hint="eastAsia"/>
          <w:color w:val="FF0000"/>
          <w:sz w:val="30"/>
          <w:szCs w:val="30"/>
        </w:rPr>
        <w:t>广西五洲交通股份有限</w:t>
      </w:r>
      <w:r w:rsidR="003B7917">
        <w:rPr>
          <w:rFonts w:ascii="黑体" w:eastAsia="黑体" w:hAnsi="黑体" w:hint="eastAsia"/>
          <w:color w:val="FF0000"/>
          <w:sz w:val="30"/>
          <w:szCs w:val="30"/>
        </w:rPr>
        <w:t>投资者关系活动记录表</w:t>
      </w:r>
    </w:p>
    <w:tbl>
      <w:tblPr>
        <w:tblStyle w:val="a9"/>
        <w:tblW w:w="0" w:type="auto"/>
        <w:jc w:val="center"/>
        <w:tblLook w:val="04A0" w:firstRow="1" w:lastRow="0" w:firstColumn="1" w:lastColumn="0" w:noHBand="0" w:noVBand="1"/>
      </w:tblPr>
      <w:tblGrid>
        <w:gridCol w:w="1217"/>
        <w:gridCol w:w="7255"/>
      </w:tblGrid>
      <w:tr w:rsidR="00071A12">
        <w:trPr>
          <w:jc w:val="center"/>
        </w:trPr>
        <w:tc>
          <w:tcPr>
            <w:tcW w:w="1217" w:type="dxa"/>
            <w:vAlign w:val="center"/>
          </w:tcPr>
          <w:p w:rsidR="00071A12" w:rsidRDefault="003B7917">
            <w:pPr>
              <w:jc w:val="center"/>
              <w:rPr>
                <w:rFonts w:asciiTheme="minorEastAsia" w:hAnsiTheme="minorEastAsia"/>
                <w:sz w:val="24"/>
                <w:szCs w:val="24"/>
              </w:rPr>
            </w:pPr>
            <w:r>
              <w:rPr>
                <w:rFonts w:asciiTheme="minorEastAsia" w:hAnsiTheme="minorEastAsia" w:hint="eastAsia"/>
                <w:sz w:val="24"/>
                <w:szCs w:val="24"/>
              </w:rPr>
              <w:t>投资者活动关系类别</w:t>
            </w:r>
          </w:p>
        </w:tc>
        <w:tc>
          <w:tcPr>
            <w:tcW w:w="7255" w:type="dxa"/>
            <w:vAlign w:val="center"/>
          </w:tcPr>
          <w:p w:rsidR="00071A12" w:rsidRDefault="002D0CA7">
            <w:pPr>
              <w:spacing w:line="600" w:lineRule="auto"/>
              <w:jc w:val="left"/>
              <w:rPr>
                <w:rFonts w:asciiTheme="minorEastAsia" w:hAnsiTheme="minorEastAsia"/>
                <w:sz w:val="24"/>
                <w:szCs w:val="24"/>
              </w:rPr>
            </w:pPr>
            <w:r>
              <w:rPr>
                <w:rFonts w:asciiTheme="minorEastAsia" w:hAnsiTheme="minorEastAsia" w:hint="eastAsia"/>
                <w:sz w:val="24"/>
                <w:szCs w:val="24"/>
              </w:rPr>
              <w:sym w:font="Wingdings 2" w:char="F052"/>
            </w:r>
            <w:r w:rsidR="003B7917">
              <w:rPr>
                <w:rFonts w:asciiTheme="minorEastAsia" w:hAnsiTheme="minorEastAsia" w:hint="eastAsia"/>
                <w:sz w:val="24"/>
                <w:szCs w:val="24"/>
              </w:rPr>
              <w:t xml:space="preserve">特定对象调研 </w:t>
            </w:r>
            <w:r w:rsidR="00097D50">
              <w:rPr>
                <w:rFonts w:asciiTheme="minorEastAsia" w:hAnsiTheme="minorEastAsia" w:hint="eastAsia"/>
                <w:sz w:val="24"/>
                <w:szCs w:val="24"/>
              </w:rPr>
              <w:sym w:font="Wingdings 2" w:char="F02A"/>
            </w:r>
            <w:r w:rsidR="003B7917">
              <w:rPr>
                <w:rFonts w:asciiTheme="minorEastAsia" w:hAnsiTheme="minorEastAsia" w:hint="eastAsia"/>
                <w:sz w:val="24"/>
                <w:szCs w:val="24"/>
              </w:rPr>
              <w:t>分析</w:t>
            </w:r>
            <w:proofErr w:type="gramStart"/>
            <w:r w:rsidR="003B7917">
              <w:rPr>
                <w:rFonts w:asciiTheme="minorEastAsia" w:hAnsiTheme="minorEastAsia" w:hint="eastAsia"/>
                <w:sz w:val="24"/>
                <w:szCs w:val="24"/>
              </w:rPr>
              <w:t>师会议</w:t>
            </w:r>
            <w:proofErr w:type="gramEnd"/>
            <w:r w:rsidR="003B7917">
              <w:rPr>
                <w:rFonts w:asciiTheme="minorEastAsia" w:hAnsiTheme="minorEastAsia" w:hint="eastAsia"/>
                <w:sz w:val="24"/>
                <w:szCs w:val="24"/>
              </w:rPr>
              <w:t xml:space="preserve"> </w:t>
            </w:r>
            <w:r w:rsidR="003B7917">
              <w:rPr>
                <w:rFonts w:asciiTheme="minorEastAsia" w:hAnsiTheme="minorEastAsia" w:hint="eastAsia"/>
                <w:sz w:val="24"/>
                <w:szCs w:val="24"/>
              </w:rPr>
              <w:sym w:font="Wingdings 2" w:char="F02A"/>
            </w:r>
            <w:r w:rsidR="003B7917">
              <w:rPr>
                <w:rFonts w:asciiTheme="minorEastAsia" w:hAnsiTheme="minorEastAsia" w:hint="eastAsia"/>
                <w:sz w:val="24"/>
                <w:szCs w:val="24"/>
              </w:rPr>
              <w:t xml:space="preserve">媒体采访 </w:t>
            </w:r>
            <w:r>
              <w:rPr>
                <w:rFonts w:asciiTheme="minorEastAsia" w:hAnsiTheme="minorEastAsia" w:hint="eastAsia"/>
                <w:sz w:val="24"/>
                <w:szCs w:val="24"/>
              </w:rPr>
              <w:sym w:font="Wingdings 2" w:char="F02A"/>
            </w:r>
            <w:r w:rsidR="003B7917">
              <w:rPr>
                <w:rFonts w:asciiTheme="minorEastAsia" w:hAnsiTheme="minorEastAsia" w:hint="eastAsia"/>
                <w:sz w:val="24"/>
                <w:szCs w:val="24"/>
              </w:rPr>
              <w:t>业绩说明会</w:t>
            </w:r>
          </w:p>
          <w:p w:rsidR="00071A12" w:rsidRDefault="003B7917" w:rsidP="008B67E8">
            <w:pPr>
              <w:spacing w:line="600" w:lineRule="auto"/>
              <w:jc w:val="left"/>
              <w:rPr>
                <w:rFonts w:asciiTheme="minorEastAsia" w:hAnsiTheme="minorEastAsia"/>
                <w:sz w:val="24"/>
                <w:szCs w:val="24"/>
                <w:u w:val="single"/>
              </w:rPr>
            </w:pPr>
            <w:r>
              <w:rPr>
                <w:rFonts w:asciiTheme="minorEastAsia" w:hAnsiTheme="minorEastAsia" w:hint="eastAsia"/>
                <w:sz w:val="24"/>
                <w:szCs w:val="24"/>
              </w:rPr>
              <w:sym w:font="Wingdings 2" w:char="F02A"/>
            </w:r>
            <w:r>
              <w:rPr>
                <w:rFonts w:asciiTheme="minorEastAsia" w:hAnsiTheme="minorEastAsia" w:hint="eastAsia"/>
                <w:sz w:val="24"/>
                <w:szCs w:val="24"/>
              </w:rPr>
              <w:t xml:space="preserve">新闻发布会 </w:t>
            </w:r>
            <w:r>
              <w:rPr>
                <w:rFonts w:asciiTheme="minorEastAsia" w:hAnsiTheme="minorEastAsia" w:hint="eastAsia"/>
                <w:sz w:val="24"/>
                <w:szCs w:val="24"/>
              </w:rPr>
              <w:sym w:font="Wingdings 2" w:char="F02A"/>
            </w:r>
            <w:r>
              <w:rPr>
                <w:rFonts w:asciiTheme="minorEastAsia" w:hAnsiTheme="minorEastAsia" w:hint="eastAsia"/>
                <w:sz w:val="24"/>
                <w:szCs w:val="24"/>
              </w:rPr>
              <w:t xml:space="preserve">路演活动 </w:t>
            </w:r>
            <w:r>
              <w:rPr>
                <w:rFonts w:asciiTheme="minorEastAsia" w:hAnsiTheme="minorEastAsia" w:hint="eastAsia"/>
                <w:sz w:val="24"/>
                <w:szCs w:val="24"/>
              </w:rPr>
              <w:sym w:font="Wingdings 2" w:char="F02A"/>
            </w:r>
            <w:r>
              <w:rPr>
                <w:rFonts w:asciiTheme="minorEastAsia" w:hAnsiTheme="minorEastAsia" w:hint="eastAsia"/>
                <w:sz w:val="24"/>
                <w:szCs w:val="24"/>
              </w:rPr>
              <w:t xml:space="preserve">现场参观 </w:t>
            </w:r>
            <w:r w:rsidR="00562EC1">
              <w:rPr>
                <w:rFonts w:asciiTheme="minorEastAsia" w:hAnsiTheme="minorEastAsia" w:hint="eastAsia"/>
                <w:sz w:val="24"/>
                <w:szCs w:val="24"/>
              </w:rPr>
              <w:sym w:font="Wingdings 2" w:char="F02A"/>
            </w:r>
            <w:r>
              <w:rPr>
                <w:rFonts w:asciiTheme="minorEastAsia" w:hAnsiTheme="minorEastAsia" w:hint="eastAsia"/>
                <w:sz w:val="24"/>
                <w:szCs w:val="24"/>
              </w:rPr>
              <w:t>其他</w:t>
            </w:r>
            <w:r w:rsidR="008D565D">
              <w:rPr>
                <w:rFonts w:asciiTheme="minorEastAsia" w:hAnsiTheme="minorEastAsia" w:hint="eastAsia"/>
                <w:sz w:val="24"/>
                <w:szCs w:val="24"/>
              </w:rPr>
              <w:t>:</w:t>
            </w:r>
            <w:r w:rsidR="008B67E8">
              <w:rPr>
                <w:rFonts w:asciiTheme="minorEastAsia" w:hAnsiTheme="minorEastAsia" w:hint="eastAsia"/>
                <w:sz w:val="24"/>
                <w:szCs w:val="24"/>
              </w:rPr>
              <w:t>投资者在线交流</w:t>
            </w:r>
          </w:p>
        </w:tc>
      </w:tr>
      <w:tr w:rsidR="00071A12">
        <w:trPr>
          <w:trHeight w:val="936"/>
          <w:jc w:val="center"/>
        </w:trPr>
        <w:tc>
          <w:tcPr>
            <w:tcW w:w="1217" w:type="dxa"/>
            <w:vAlign w:val="center"/>
          </w:tcPr>
          <w:p w:rsidR="00071A12" w:rsidRDefault="003B7917">
            <w:pPr>
              <w:spacing w:line="720" w:lineRule="auto"/>
              <w:jc w:val="center"/>
              <w:rPr>
                <w:rFonts w:asciiTheme="minorEastAsia" w:hAnsiTheme="minorEastAsia"/>
                <w:sz w:val="24"/>
                <w:szCs w:val="24"/>
              </w:rPr>
            </w:pPr>
            <w:r>
              <w:rPr>
                <w:rFonts w:asciiTheme="minorEastAsia" w:hAnsiTheme="minorEastAsia" w:hint="eastAsia"/>
                <w:sz w:val="24"/>
                <w:szCs w:val="24"/>
              </w:rPr>
              <w:t xml:space="preserve">时 </w:t>
            </w:r>
            <w:r>
              <w:rPr>
                <w:rFonts w:asciiTheme="minorEastAsia" w:hAnsiTheme="minorEastAsia"/>
                <w:sz w:val="24"/>
                <w:szCs w:val="24"/>
              </w:rPr>
              <w:t xml:space="preserve">  </w:t>
            </w:r>
            <w:r>
              <w:rPr>
                <w:rFonts w:asciiTheme="minorEastAsia" w:hAnsiTheme="minorEastAsia" w:hint="eastAsia"/>
                <w:sz w:val="24"/>
                <w:szCs w:val="24"/>
              </w:rPr>
              <w:t>间</w:t>
            </w:r>
          </w:p>
        </w:tc>
        <w:tc>
          <w:tcPr>
            <w:tcW w:w="7255" w:type="dxa"/>
            <w:vAlign w:val="center"/>
          </w:tcPr>
          <w:p w:rsidR="00071A12" w:rsidRDefault="003B7917" w:rsidP="002D0CA7">
            <w:pPr>
              <w:spacing w:line="720" w:lineRule="auto"/>
              <w:jc w:val="left"/>
              <w:rPr>
                <w:rFonts w:asciiTheme="minorEastAsia" w:hAnsiTheme="minorEastAsia"/>
                <w:sz w:val="24"/>
                <w:szCs w:val="24"/>
              </w:rPr>
            </w:pPr>
            <w:r>
              <w:rPr>
                <w:rFonts w:ascii="宋体" w:hAnsi="宋体" w:hint="eastAsia"/>
                <w:sz w:val="24"/>
                <w:szCs w:val="24"/>
              </w:rPr>
              <w:t>202</w:t>
            </w:r>
            <w:r w:rsidR="002D0CA7">
              <w:rPr>
                <w:rFonts w:ascii="宋体" w:hAnsi="宋体" w:hint="eastAsia"/>
                <w:sz w:val="24"/>
                <w:szCs w:val="24"/>
              </w:rPr>
              <w:t>5</w:t>
            </w:r>
            <w:r>
              <w:rPr>
                <w:rFonts w:ascii="宋体" w:hAnsi="宋体" w:hint="eastAsia"/>
                <w:sz w:val="24"/>
                <w:szCs w:val="24"/>
              </w:rPr>
              <w:t>年</w:t>
            </w:r>
            <w:r w:rsidR="00813138">
              <w:rPr>
                <w:rFonts w:ascii="宋体" w:hAnsi="宋体" w:hint="eastAsia"/>
                <w:sz w:val="24"/>
                <w:szCs w:val="24"/>
              </w:rPr>
              <w:t>1</w:t>
            </w:r>
            <w:r w:rsidR="002D0CA7">
              <w:rPr>
                <w:rFonts w:ascii="宋体" w:hAnsi="宋体" w:hint="eastAsia"/>
                <w:sz w:val="24"/>
                <w:szCs w:val="24"/>
              </w:rPr>
              <w:t>0</w:t>
            </w:r>
            <w:r>
              <w:rPr>
                <w:rFonts w:ascii="宋体" w:hAnsi="宋体" w:hint="eastAsia"/>
                <w:sz w:val="24"/>
                <w:szCs w:val="24"/>
              </w:rPr>
              <w:t>月</w:t>
            </w:r>
            <w:r w:rsidR="002D0CA7">
              <w:rPr>
                <w:rFonts w:ascii="宋体" w:hAnsi="宋体" w:hint="eastAsia"/>
                <w:sz w:val="24"/>
                <w:szCs w:val="24"/>
              </w:rPr>
              <w:t>22</w:t>
            </w:r>
            <w:r>
              <w:rPr>
                <w:rFonts w:ascii="宋体" w:hAnsi="宋体" w:hint="eastAsia"/>
                <w:sz w:val="24"/>
                <w:szCs w:val="24"/>
              </w:rPr>
              <w:t>日(星期</w:t>
            </w:r>
            <w:r w:rsidR="002D0CA7">
              <w:rPr>
                <w:rFonts w:ascii="宋体" w:hAnsi="宋体" w:hint="eastAsia"/>
                <w:sz w:val="24"/>
                <w:szCs w:val="24"/>
              </w:rPr>
              <w:t>三)</w:t>
            </w:r>
            <w:r w:rsidR="008B67E8">
              <w:rPr>
                <w:rFonts w:ascii="宋体" w:hAnsi="宋体" w:hint="eastAsia"/>
                <w:sz w:val="24"/>
                <w:szCs w:val="24"/>
              </w:rPr>
              <w:t>1</w:t>
            </w:r>
            <w:r w:rsidR="002D0CA7">
              <w:rPr>
                <w:rFonts w:ascii="宋体" w:hAnsi="宋体" w:hint="eastAsia"/>
                <w:sz w:val="24"/>
                <w:szCs w:val="24"/>
              </w:rPr>
              <w:t>6</w:t>
            </w:r>
            <w:r>
              <w:rPr>
                <w:rFonts w:ascii="宋体" w:hAnsi="宋体" w:hint="eastAsia"/>
                <w:sz w:val="24"/>
                <w:szCs w:val="24"/>
              </w:rPr>
              <w:t>:</w:t>
            </w:r>
            <w:r w:rsidR="00562EC1">
              <w:rPr>
                <w:rFonts w:ascii="宋体" w:hAnsi="宋体" w:hint="eastAsia"/>
                <w:sz w:val="24"/>
                <w:szCs w:val="24"/>
              </w:rPr>
              <w:t>0</w:t>
            </w:r>
            <w:r>
              <w:rPr>
                <w:rFonts w:ascii="宋体" w:hAnsi="宋体" w:hint="eastAsia"/>
                <w:sz w:val="24"/>
                <w:szCs w:val="24"/>
              </w:rPr>
              <w:t>0-1</w:t>
            </w:r>
            <w:r w:rsidR="002D0CA7">
              <w:rPr>
                <w:rFonts w:ascii="宋体" w:hAnsi="宋体" w:hint="eastAsia"/>
                <w:sz w:val="24"/>
                <w:szCs w:val="24"/>
              </w:rPr>
              <w:t>7</w:t>
            </w:r>
            <w:r>
              <w:rPr>
                <w:rFonts w:ascii="宋体" w:hAnsi="宋体" w:hint="eastAsia"/>
                <w:sz w:val="24"/>
                <w:szCs w:val="24"/>
              </w:rPr>
              <w:t>:</w:t>
            </w:r>
            <w:r w:rsidR="00562EC1">
              <w:rPr>
                <w:rFonts w:ascii="宋体" w:hAnsi="宋体" w:hint="eastAsia"/>
                <w:sz w:val="24"/>
                <w:szCs w:val="24"/>
              </w:rPr>
              <w:t>0</w:t>
            </w:r>
            <w:r>
              <w:rPr>
                <w:rFonts w:ascii="宋体" w:hAnsi="宋体" w:hint="eastAsia"/>
                <w:sz w:val="24"/>
                <w:szCs w:val="24"/>
              </w:rPr>
              <w:t>0</w:t>
            </w:r>
          </w:p>
        </w:tc>
      </w:tr>
      <w:tr w:rsidR="00071A12">
        <w:trPr>
          <w:trHeight w:val="936"/>
          <w:jc w:val="center"/>
        </w:trPr>
        <w:tc>
          <w:tcPr>
            <w:tcW w:w="1217" w:type="dxa"/>
            <w:vAlign w:val="center"/>
          </w:tcPr>
          <w:p w:rsidR="00071A12" w:rsidRDefault="003B7917">
            <w:pPr>
              <w:spacing w:line="720" w:lineRule="auto"/>
              <w:jc w:val="center"/>
              <w:rPr>
                <w:rFonts w:asciiTheme="minorEastAsia" w:hAnsiTheme="minorEastAsia"/>
                <w:sz w:val="24"/>
                <w:szCs w:val="24"/>
              </w:rPr>
            </w:pPr>
            <w:r>
              <w:rPr>
                <w:rFonts w:asciiTheme="minorEastAsia" w:hAnsiTheme="minorEastAsia" w:hint="eastAsia"/>
                <w:sz w:val="24"/>
                <w:szCs w:val="24"/>
              </w:rPr>
              <w:t xml:space="preserve">地 </w:t>
            </w:r>
            <w:r>
              <w:rPr>
                <w:rFonts w:asciiTheme="minorEastAsia" w:hAnsiTheme="minorEastAsia"/>
                <w:sz w:val="24"/>
                <w:szCs w:val="24"/>
              </w:rPr>
              <w:t xml:space="preserve">  </w:t>
            </w:r>
            <w:r>
              <w:rPr>
                <w:rFonts w:asciiTheme="minorEastAsia" w:hAnsiTheme="minorEastAsia" w:hint="eastAsia"/>
                <w:sz w:val="24"/>
                <w:szCs w:val="24"/>
              </w:rPr>
              <w:t>点</w:t>
            </w:r>
          </w:p>
        </w:tc>
        <w:tc>
          <w:tcPr>
            <w:tcW w:w="7255" w:type="dxa"/>
            <w:vAlign w:val="center"/>
          </w:tcPr>
          <w:p w:rsidR="00071A12" w:rsidRDefault="002D0CA7">
            <w:pPr>
              <w:adjustRightInd w:val="0"/>
              <w:snapToGrid w:val="0"/>
              <w:spacing w:afterLines="50" w:after="156" w:line="400" w:lineRule="exact"/>
              <w:rPr>
                <w:rFonts w:asciiTheme="minorEastAsia" w:hAnsiTheme="minorEastAsia"/>
                <w:color w:val="000000"/>
                <w:sz w:val="24"/>
                <w:szCs w:val="24"/>
              </w:rPr>
            </w:pPr>
            <w:r>
              <w:rPr>
                <w:rFonts w:asciiTheme="minorEastAsia" w:hAnsiTheme="minorEastAsia" w:hint="eastAsia"/>
                <w:color w:val="000000"/>
                <w:sz w:val="24"/>
                <w:szCs w:val="24"/>
              </w:rPr>
              <w:t>现代国际大厦27楼会议室</w:t>
            </w:r>
          </w:p>
        </w:tc>
      </w:tr>
      <w:tr w:rsidR="00071A12" w:rsidTr="00DB2BE3">
        <w:trPr>
          <w:trHeight w:val="1313"/>
          <w:jc w:val="center"/>
        </w:trPr>
        <w:tc>
          <w:tcPr>
            <w:tcW w:w="1217" w:type="dxa"/>
            <w:vAlign w:val="center"/>
          </w:tcPr>
          <w:p w:rsidR="00071A12" w:rsidRDefault="003B7917" w:rsidP="00DB2BE3">
            <w:pPr>
              <w:spacing w:line="360" w:lineRule="auto"/>
              <w:jc w:val="center"/>
              <w:rPr>
                <w:rFonts w:asciiTheme="minorEastAsia" w:hAnsiTheme="minorEastAsia"/>
                <w:sz w:val="24"/>
                <w:szCs w:val="24"/>
              </w:rPr>
            </w:pPr>
            <w:r>
              <w:rPr>
                <w:rFonts w:asciiTheme="minorEastAsia" w:hAnsiTheme="minorEastAsia" w:hint="eastAsia"/>
                <w:sz w:val="24"/>
                <w:szCs w:val="24"/>
              </w:rPr>
              <w:t>参与机构名称</w:t>
            </w:r>
          </w:p>
        </w:tc>
        <w:tc>
          <w:tcPr>
            <w:tcW w:w="7255" w:type="dxa"/>
            <w:vAlign w:val="center"/>
          </w:tcPr>
          <w:p w:rsidR="00071A12" w:rsidRDefault="00877A88" w:rsidP="00877A88">
            <w:pPr>
              <w:adjustRightInd w:val="0"/>
              <w:snapToGrid w:val="0"/>
              <w:spacing w:afterLines="50" w:after="156" w:line="400" w:lineRule="exact"/>
              <w:rPr>
                <w:rFonts w:ascii="宋体" w:hAnsi="宋体"/>
                <w:sz w:val="24"/>
                <w:szCs w:val="24"/>
              </w:rPr>
            </w:pPr>
            <w:proofErr w:type="gramStart"/>
            <w:r>
              <w:rPr>
                <w:rFonts w:ascii="宋体" w:hAnsi="宋体" w:hint="eastAsia"/>
                <w:sz w:val="24"/>
                <w:szCs w:val="24"/>
              </w:rPr>
              <w:t>中证鹏元</w:t>
            </w:r>
            <w:proofErr w:type="gramEnd"/>
            <w:r>
              <w:rPr>
                <w:rFonts w:ascii="宋体" w:hAnsi="宋体" w:hint="eastAsia"/>
                <w:sz w:val="24"/>
                <w:szCs w:val="24"/>
              </w:rPr>
              <w:t>、</w:t>
            </w:r>
            <w:r w:rsidRPr="00877A88">
              <w:rPr>
                <w:rFonts w:ascii="宋体" w:hAnsi="宋体" w:hint="eastAsia"/>
                <w:sz w:val="24"/>
                <w:szCs w:val="24"/>
              </w:rPr>
              <w:t>西部证券</w:t>
            </w:r>
            <w:r>
              <w:rPr>
                <w:rFonts w:ascii="宋体" w:hAnsi="宋体" w:hint="eastAsia"/>
                <w:sz w:val="24"/>
                <w:szCs w:val="24"/>
              </w:rPr>
              <w:t>、</w:t>
            </w:r>
            <w:r w:rsidRPr="00877A88">
              <w:rPr>
                <w:rFonts w:ascii="宋体" w:hAnsi="宋体" w:hint="eastAsia"/>
                <w:sz w:val="24"/>
                <w:szCs w:val="24"/>
              </w:rPr>
              <w:t>首创证券</w:t>
            </w:r>
            <w:r>
              <w:rPr>
                <w:rFonts w:ascii="宋体" w:hAnsi="宋体" w:hint="eastAsia"/>
                <w:sz w:val="24"/>
                <w:szCs w:val="24"/>
              </w:rPr>
              <w:t>、</w:t>
            </w:r>
            <w:r w:rsidRPr="00877A88">
              <w:rPr>
                <w:rFonts w:ascii="宋体" w:hAnsi="宋体" w:hint="eastAsia"/>
                <w:sz w:val="24"/>
                <w:szCs w:val="24"/>
              </w:rPr>
              <w:t>申万菱信基金</w:t>
            </w:r>
            <w:r>
              <w:rPr>
                <w:rFonts w:ascii="宋体" w:hAnsi="宋体" w:hint="eastAsia"/>
                <w:sz w:val="24"/>
                <w:szCs w:val="24"/>
              </w:rPr>
              <w:t>、</w:t>
            </w:r>
            <w:r w:rsidRPr="00877A88">
              <w:rPr>
                <w:rFonts w:ascii="宋体" w:hAnsi="宋体" w:hint="eastAsia"/>
                <w:sz w:val="24"/>
                <w:szCs w:val="24"/>
              </w:rPr>
              <w:t>申万菱信基金</w:t>
            </w:r>
            <w:r>
              <w:rPr>
                <w:rFonts w:ascii="宋体" w:hAnsi="宋体" w:hint="eastAsia"/>
                <w:sz w:val="24"/>
                <w:szCs w:val="24"/>
              </w:rPr>
              <w:t>、</w:t>
            </w:r>
            <w:r w:rsidRPr="00877A88">
              <w:rPr>
                <w:rFonts w:ascii="宋体" w:hAnsi="宋体" w:hint="eastAsia"/>
                <w:sz w:val="24"/>
                <w:szCs w:val="24"/>
              </w:rPr>
              <w:t>华夏基金</w:t>
            </w:r>
            <w:r>
              <w:rPr>
                <w:rFonts w:ascii="宋体" w:hAnsi="宋体" w:hint="eastAsia"/>
                <w:sz w:val="24"/>
                <w:szCs w:val="24"/>
              </w:rPr>
              <w:t>、</w:t>
            </w:r>
            <w:proofErr w:type="gramStart"/>
            <w:r w:rsidRPr="00877A88">
              <w:rPr>
                <w:rFonts w:ascii="宋体" w:hAnsi="宋体" w:hint="eastAsia"/>
                <w:sz w:val="24"/>
                <w:szCs w:val="24"/>
              </w:rPr>
              <w:t>上海沛轩投资</w:t>
            </w:r>
            <w:proofErr w:type="gramEnd"/>
            <w:r>
              <w:rPr>
                <w:rFonts w:ascii="宋体" w:hAnsi="宋体" w:hint="eastAsia"/>
                <w:sz w:val="24"/>
                <w:szCs w:val="24"/>
              </w:rPr>
              <w:t>、</w:t>
            </w:r>
            <w:r w:rsidRPr="00877A88">
              <w:rPr>
                <w:rFonts w:ascii="宋体" w:hAnsi="宋体" w:hint="eastAsia"/>
                <w:sz w:val="24"/>
                <w:szCs w:val="24"/>
              </w:rPr>
              <w:t>东北证券</w:t>
            </w:r>
            <w:r>
              <w:rPr>
                <w:rFonts w:ascii="宋体" w:hAnsi="宋体" w:hint="eastAsia"/>
                <w:sz w:val="24"/>
                <w:szCs w:val="24"/>
              </w:rPr>
              <w:t>、</w:t>
            </w:r>
            <w:r w:rsidRPr="00877A88">
              <w:rPr>
                <w:rFonts w:ascii="宋体" w:hAnsi="宋体" w:hint="eastAsia"/>
                <w:sz w:val="24"/>
                <w:szCs w:val="24"/>
              </w:rPr>
              <w:t>建信养老</w:t>
            </w:r>
            <w:r>
              <w:rPr>
                <w:rFonts w:ascii="宋体" w:hAnsi="宋体" w:hint="eastAsia"/>
                <w:sz w:val="24"/>
                <w:szCs w:val="24"/>
              </w:rPr>
              <w:t>、</w:t>
            </w:r>
            <w:proofErr w:type="gramStart"/>
            <w:r w:rsidRPr="00877A88">
              <w:rPr>
                <w:rFonts w:ascii="宋体" w:hAnsi="宋体" w:hint="eastAsia"/>
                <w:sz w:val="24"/>
                <w:szCs w:val="24"/>
              </w:rPr>
              <w:t>财达证券</w:t>
            </w:r>
            <w:proofErr w:type="gramEnd"/>
          </w:p>
        </w:tc>
      </w:tr>
      <w:tr w:rsidR="00071A12">
        <w:trPr>
          <w:jc w:val="center"/>
        </w:trPr>
        <w:tc>
          <w:tcPr>
            <w:tcW w:w="1217" w:type="dxa"/>
            <w:vAlign w:val="center"/>
          </w:tcPr>
          <w:p w:rsidR="00071A12" w:rsidRDefault="003B7917">
            <w:pPr>
              <w:jc w:val="center"/>
              <w:rPr>
                <w:rFonts w:asciiTheme="minorEastAsia" w:hAnsiTheme="minorEastAsia"/>
                <w:sz w:val="24"/>
                <w:szCs w:val="24"/>
              </w:rPr>
            </w:pPr>
            <w:r>
              <w:rPr>
                <w:rFonts w:asciiTheme="minorEastAsia" w:hAnsiTheme="minorEastAsia" w:hint="eastAsia"/>
                <w:sz w:val="24"/>
                <w:szCs w:val="24"/>
              </w:rPr>
              <w:t>公司接待人员</w:t>
            </w:r>
          </w:p>
        </w:tc>
        <w:tc>
          <w:tcPr>
            <w:tcW w:w="7255" w:type="dxa"/>
            <w:vAlign w:val="center"/>
          </w:tcPr>
          <w:p w:rsidR="007D1C39" w:rsidRDefault="007D1C39" w:rsidP="00805565">
            <w:pPr>
              <w:adjustRightInd w:val="0"/>
              <w:spacing w:line="460" w:lineRule="exact"/>
              <w:jc w:val="left"/>
              <w:rPr>
                <w:rFonts w:ascii="宋体" w:hAnsi="宋体" w:hint="eastAsia"/>
                <w:sz w:val="24"/>
                <w:szCs w:val="24"/>
              </w:rPr>
            </w:pPr>
            <w:r>
              <w:rPr>
                <w:rFonts w:ascii="宋体" w:hAnsi="宋体" w:hint="eastAsia"/>
                <w:sz w:val="24"/>
                <w:szCs w:val="24"/>
              </w:rPr>
              <w:t>副董事长、</w:t>
            </w:r>
            <w:r w:rsidR="00716603">
              <w:rPr>
                <w:rFonts w:ascii="宋体" w:hAnsi="宋体" w:hint="eastAsia"/>
                <w:sz w:val="24"/>
                <w:szCs w:val="24"/>
              </w:rPr>
              <w:t>总经理:许国平</w:t>
            </w:r>
          </w:p>
          <w:p w:rsidR="00716603" w:rsidRDefault="00716603" w:rsidP="00805565">
            <w:pPr>
              <w:adjustRightInd w:val="0"/>
              <w:spacing w:line="460" w:lineRule="exact"/>
              <w:jc w:val="left"/>
              <w:rPr>
                <w:rFonts w:ascii="宋体" w:hAnsi="宋体"/>
                <w:sz w:val="24"/>
                <w:szCs w:val="24"/>
              </w:rPr>
            </w:pPr>
            <w:r>
              <w:rPr>
                <w:rFonts w:ascii="宋体" w:hAnsi="宋体" w:hint="eastAsia"/>
                <w:sz w:val="24"/>
                <w:szCs w:val="24"/>
              </w:rPr>
              <w:t>董事、副总经理、董事会秘书、总会计师:玉</w:t>
            </w:r>
            <w:proofErr w:type="gramStart"/>
            <w:r>
              <w:rPr>
                <w:rFonts w:ascii="宋体" w:hAnsi="宋体" w:hint="eastAsia"/>
                <w:sz w:val="24"/>
                <w:szCs w:val="24"/>
              </w:rPr>
              <w:t>莉</w:t>
            </w:r>
            <w:proofErr w:type="gramEnd"/>
          </w:p>
          <w:p w:rsidR="00805565" w:rsidRPr="00805565" w:rsidRDefault="007D1C39" w:rsidP="00805565">
            <w:pPr>
              <w:adjustRightInd w:val="0"/>
              <w:spacing w:line="460" w:lineRule="exact"/>
              <w:jc w:val="left"/>
              <w:rPr>
                <w:rFonts w:ascii="宋体" w:hAnsi="宋体"/>
                <w:sz w:val="24"/>
                <w:szCs w:val="24"/>
              </w:rPr>
            </w:pPr>
            <w:r w:rsidRPr="007D1C39">
              <w:rPr>
                <w:rFonts w:ascii="宋体" w:hAnsi="宋体" w:hint="eastAsia"/>
                <w:sz w:val="24"/>
                <w:szCs w:val="24"/>
              </w:rPr>
              <w:t>公司经营管理部、投资发展部、财务部、证券部</w:t>
            </w:r>
            <w:r>
              <w:rPr>
                <w:rFonts w:ascii="宋体" w:hAnsi="宋体" w:hint="eastAsia"/>
                <w:sz w:val="24"/>
                <w:szCs w:val="24"/>
              </w:rPr>
              <w:t>相关人员</w:t>
            </w:r>
          </w:p>
        </w:tc>
      </w:tr>
      <w:tr w:rsidR="00071A12">
        <w:trPr>
          <w:jc w:val="center"/>
        </w:trPr>
        <w:tc>
          <w:tcPr>
            <w:tcW w:w="1217" w:type="dxa"/>
            <w:vAlign w:val="center"/>
          </w:tcPr>
          <w:p w:rsidR="00071A12" w:rsidRDefault="003B7917">
            <w:pPr>
              <w:jc w:val="center"/>
              <w:rPr>
                <w:rFonts w:asciiTheme="minorEastAsia" w:hAnsiTheme="minorEastAsia"/>
                <w:sz w:val="24"/>
                <w:szCs w:val="24"/>
              </w:rPr>
            </w:pPr>
            <w:r>
              <w:rPr>
                <w:rFonts w:asciiTheme="minorEastAsia" w:hAnsiTheme="minorEastAsia" w:hint="eastAsia"/>
                <w:sz w:val="24"/>
                <w:szCs w:val="24"/>
              </w:rPr>
              <w:t>投资者关系活动主要内容介绍</w:t>
            </w:r>
          </w:p>
        </w:tc>
        <w:tc>
          <w:tcPr>
            <w:tcW w:w="7255" w:type="dxa"/>
            <w:vAlign w:val="center"/>
          </w:tcPr>
          <w:p w:rsidR="008D565D" w:rsidRPr="00A47F0E" w:rsidRDefault="008D565D">
            <w:pPr>
              <w:adjustRightInd w:val="0"/>
              <w:snapToGrid w:val="0"/>
              <w:spacing w:line="460" w:lineRule="exact"/>
              <w:ind w:firstLineChars="200" w:firstLine="480"/>
              <w:rPr>
                <w:rFonts w:ascii="宋体" w:hAnsi="宋体"/>
                <w:sz w:val="24"/>
                <w:szCs w:val="24"/>
              </w:rPr>
            </w:pPr>
            <w:r w:rsidRPr="00A47F0E">
              <w:rPr>
                <w:rFonts w:ascii="宋体" w:hAnsi="宋体" w:hint="eastAsia"/>
                <w:sz w:val="24"/>
                <w:szCs w:val="24"/>
              </w:rPr>
              <w:t>活动开始</w:t>
            </w:r>
            <w:r w:rsidR="00DB2BE3" w:rsidRPr="00A47F0E">
              <w:rPr>
                <w:rFonts w:ascii="宋体" w:hAnsi="宋体" w:hint="eastAsia"/>
                <w:sz w:val="24"/>
                <w:szCs w:val="24"/>
              </w:rPr>
              <w:t>，公司</w:t>
            </w:r>
            <w:r w:rsidR="00AE3BE4">
              <w:rPr>
                <w:rFonts w:ascii="宋体" w:hAnsi="宋体" w:hint="eastAsia"/>
                <w:sz w:val="24"/>
                <w:szCs w:val="24"/>
              </w:rPr>
              <w:t>总经理</w:t>
            </w:r>
            <w:r w:rsidR="00C143E7" w:rsidRPr="00A47F0E">
              <w:rPr>
                <w:rFonts w:ascii="宋体" w:hAnsi="宋体" w:hint="eastAsia"/>
                <w:sz w:val="24"/>
                <w:szCs w:val="24"/>
              </w:rPr>
              <w:t>介绍了公司基本情况，随后与</w:t>
            </w:r>
            <w:r w:rsidR="00AE3BE4">
              <w:rPr>
                <w:rFonts w:ascii="宋体" w:hAnsi="宋体" w:hint="eastAsia"/>
                <w:sz w:val="24"/>
                <w:szCs w:val="24"/>
              </w:rPr>
              <w:t>投资者</w:t>
            </w:r>
            <w:r w:rsidR="00C143E7" w:rsidRPr="00A47F0E">
              <w:rPr>
                <w:rFonts w:ascii="宋体" w:hAnsi="宋体" w:hint="eastAsia"/>
                <w:sz w:val="24"/>
                <w:szCs w:val="24"/>
              </w:rPr>
              <w:t>进行了交流:</w:t>
            </w:r>
          </w:p>
          <w:p w:rsidR="00877A88" w:rsidRPr="00877A88" w:rsidRDefault="00877A88" w:rsidP="00877A88">
            <w:pPr>
              <w:adjustRightInd w:val="0"/>
              <w:snapToGrid w:val="0"/>
              <w:spacing w:line="460" w:lineRule="exact"/>
              <w:ind w:firstLineChars="200" w:firstLine="480"/>
              <w:rPr>
                <w:rFonts w:ascii="宋体" w:hAnsi="宋体" w:hint="eastAsia"/>
                <w:sz w:val="24"/>
                <w:szCs w:val="24"/>
              </w:rPr>
            </w:pPr>
            <w:r w:rsidRPr="00877A88">
              <w:rPr>
                <w:rFonts w:ascii="宋体" w:hAnsi="宋体" w:hint="eastAsia"/>
                <w:sz w:val="24"/>
                <w:szCs w:val="24"/>
              </w:rPr>
              <w:t>一、公司2025年上半年</w:t>
            </w:r>
            <w:proofErr w:type="gramStart"/>
            <w:r w:rsidRPr="00877A88">
              <w:rPr>
                <w:rFonts w:ascii="宋体" w:hAnsi="宋体" w:hint="eastAsia"/>
                <w:sz w:val="24"/>
                <w:szCs w:val="24"/>
              </w:rPr>
              <w:t>归母净利润</w:t>
            </w:r>
            <w:proofErr w:type="gramEnd"/>
            <w:r w:rsidRPr="00877A88">
              <w:rPr>
                <w:rFonts w:ascii="宋体" w:hAnsi="宋体" w:hint="eastAsia"/>
                <w:sz w:val="24"/>
                <w:szCs w:val="24"/>
              </w:rPr>
              <w:t>同比下降10.46%，营业成本激增，请问成本激增的主要驱动因素是否可持续？未来如何优化成本结构？</w:t>
            </w:r>
          </w:p>
          <w:p w:rsidR="00877A88" w:rsidRPr="00877A88" w:rsidRDefault="00E25DA5" w:rsidP="00877A88">
            <w:pPr>
              <w:adjustRightInd w:val="0"/>
              <w:snapToGrid w:val="0"/>
              <w:spacing w:line="460" w:lineRule="exact"/>
              <w:ind w:firstLineChars="200" w:firstLine="480"/>
              <w:rPr>
                <w:rFonts w:ascii="宋体" w:hAnsi="宋体" w:hint="eastAsia"/>
                <w:sz w:val="24"/>
                <w:szCs w:val="24"/>
              </w:rPr>
            </w:pPr>
            <w:r>
              <w:rPr>
                <w:rFonts w:ascii="宋体" w:hAnsi="宋体" w:hint="eastAsia"/>
                <w:sz w:val="24"/>
                <w:szCs w:val="24"/>
              </w:rPr>
              <w:t>答复:</w:t>
            </w:r>
            <w:r w:rsidR="00877A88" w:rsidRPr="00877A88">
              <w:rPr>
                <w:rFonts w:ascii="宋体" w:hAnsi="宋体" w:hint="eastAsia"/>
                <w:sz w:val="24"/>
                <w:szCs w:val="24"/>
              </w:rPr>
              <w:t>2025年上半年</w:t>
            </w:r>
            <w:proofErr w:type="gramStart"/>
            <w:r w:rsidR="00877A88" w:rsidRPr="00877A88">
              <w:rPr>
                <w:rFonts w:ascii="宋体" w:hAnsi="宋体" w:hint="eastAsia"/>
                <w:sz w:val="24"/>
                <w:szCs w:val="24"/>
              </w:rPr>
              <w:t>归母净利润</w:t>
            </w:r>
            <w:proofErr w:type="gramEnd"/>
            <w:r w:rsidR="00877A88" w:rsidRPr="00877A88">
              <w:rPr>
                <w:rFonts w:ascii="宋体" w:hAnsi="宋体" w:hint="eastAsia"/>
                <w:sz w:val="24"/>
                <w:szCs w:val="24"/>
              </w:rPr>
              <w:t>同比下降10.46%，主要原因是公司通行费收入较上年同比减少3,520万元，下降幅度达6.11%。营业成本增加的主要原因是随着科技进步和收费业务信息化程度的提高,收费人员在收费业务中的促进作用逐渐淡化,因此本期公司将收费人员的薪酬及收费站修理修缮等通行费征收支出从销售费用调整至营业成本核算。该会计核算调整带来的成本变动，同步减少了公司的销售费用，因此公司整体成本费用并无激增。</w:t>
            </w:r>
          </w:p>
          <w:p w:rsidR="00071A12" w:rsidRDefault="00877A88" w:rsidP="00877A88">
            <w:pPr>
              <w:adjustRightInd w:val="0"/>
              <w:snapToGrid w:val="0"/>
              <w:spacing w:line="460" w:lineRule="exact"/>
              <w:ind w:firstLineChars="200" w:firstLine="480"/>
              <w:rPr>
                <w:rFonts w:ascii="宋体" w:hAnsi="宋体" w:hint="eastAsia"/>
                <w:sz w:val="24"/>
                <w:szCs w:val="24"/>
              </w:rPr>
            </w:pPr>
            <w:r w:rsidRPr="00877A88">
              <w:rPr>
                <w:rFonts w:ascii="宋体" w:hAnsi="宋体" w:hint="eastAsia"/>
                <w:sz w:val="24"/>
                <w:szCs w:val="24"/>
              </w:rPr>
              <w:t>未来五洲交通将通过优化经营模式、降本增效等措施优化成本结构。一是精简非核心业务。剥离非核心、低附加值的业务，集中</w:t>
            </w:r>
            <w:r w:rsidRPr="00877A88">
              <w:rPr>
                <w:rFonts w:ascii="宋体" w:hAnsi="宋体" w:hint="eastAsia"/>
                <w:sz w:val="24"/>
                <w:szCs w:val="24"/>
              </w:rPr>
              <w:lastRenderedPageBreak/>
              <w:t>资源于主营业务，提高资源配置效率。二是持续做好引车上路，通过增加收入优化成本结构。三是进行数字化转型降本。推动财务、采购等流程自动化，减少人工成本和运营误差，提升管理效率。四是能耗与空间成本管控。推行节能改造，降低水电能耗；评估办公与仓储空间使用率，压缩闲置面积或转向共享/灵活办公模式。</w:t>
            </w:r>
          </w:p>
          <w:p w:rsidR="00877A88" w:rsidRPr="00877A88" w:rsidRDefault="00877A88" w:rsidP="00877A88">
            <w:pPr>
              <w:adjustRightInd w:val="0"/>
              <w:snapToGrid w:val="0"/>
              <w:spacing w:line="460" w:lineRule="exact"/>
              <w:ind w:firstLineChars="200" w:firstLine="480"/>
              <w:rPr>
                <w:rFonts w:ascii="宋体" w:hAnsi="宋体" w:hint="eastAsia"/>
                <w:sz w:val="24"/>
                <w:szCs w:val="24"/>
              </w:rPr>
            </w:pPr>
            <w:r w:rsidRPr="00877A88">
              <w:rPr>
                <w:rFonts w:ascii="宋体" w:hAnsi="宋体" w:hint="eastAsia"/>
                <w:sz w:val="24"/>
                <w:szCs w:val="24"/>
              </w:rPr>
              <w:t>二、当前资产负债率是否可控？</w:t>
            </w:r>
            <w:r w:rsidR="00E25DA5" w:rsidRPr="00877A88">
              <w:rPr>
                <w:rFonts w:ascii="宋体" w:hAnsi="宋体" w:hint="eastAsia"/>
                <w:sz w:val="24"/>
                <w:szCs w:val="24"/>
              </w:rPr>
              <w:t xml:space="preserve"> </w:t>
            </w:r>
          </w:p>
          <w:p w:rsidR="00877A88" w:rsidRDefault="00E25DA5" w:rsidP="00877A88">
            <w:pPr>
              <w:adjustRightInd w:val="0"/>
              <w:snapToGrid w:val="0"/>
              <w:spacing w:line="460" w:lineRule="exact"/>
              <w:ind w:firstLineChars="200" w:firstLine="480"/>
              <w:rPr>
                <w:rFonts w:ascii="宋体" w:hAnsi="宋体" w:hint="eastAsia"/>
                <w:sz w:val="24"/>
                <w:szCs w:val="24"/>
              </w:rPr>
            </w:pPr>
            <w:r>
              <w:rPr>
                <w:rFonts w:ascii="宋体" w:hAnsi="宋体" w:hint="eastAsia"/>
                <w:sz w:val="24"/>
                <w:szCs w:val="24"/>
              </w:rPr>
              <w:t>答复:</w:t>
            </w:r>
            <w:r w:rsidR="00877A88" w:rsidRPr="00877A88">
              <w:rPr>
                <w:rFonts w:ascii="宋体" w:hAnsi="宋体" w:hint="eastAsia"/>
                <w:sz w:val="24"/>
                <w:szCs w:val="24"/>
              </w:rPr>
              <w:t>截至2025年6月，五洲交通资产负债率为28.94%，远低于高速公路行业优秀值53.3%，当前资产负债率可控。</w:t>
            </w:r>
          </w:p>
          <w:p w:rsidR="00E25DA5" w:rsidRPr="00E25DA5" w:rsidRDefault="00E25DA5" w:rsidP="00E25DA5">
            <w:pPr>
              <w:adjustRightInd w:val="0"/>
              <w:snapToGrid w:val="0"/>
              <w:spacing w:line="460" w:lineRule="exact"/>
              <w:ind w:firstLineChars="200" w:firstLine="480"/>
              <w:rPr>
                <w:rFonts w:ascii="宋体" w:hAnsi="宋体" w:hint="eastAsia"/>
                <w:sz w:val="24"/>
                <w:szCs w:val="24"/>
              </w:rPr>
            </w:pPr>
            <w:r w:rsidRPr="00E25DA5">
              <w:rPr>
                <w:rFonts w:ascii="宋体" w:hAnsi="宋体" w:hint="eastAsia"/>
                <w:sz w:val="24"/>
                <w:szCs w:val="24"/>
              </w:rPr>
              <w:t>三、高速公路收费业务信息化调整对盈利的长期影响如何？</w:t>
            </w:r>
          </w:p>
          <w:p w:rsidR="00E25DA5" w:rsidRDefault="00E25DA5" w:rsidP="00E25DA5">
            <w:pPr>
              <w:adjustRightInd w:val="0"/>
              <w:snapToGrid w:val="0"/>
              <w:spacing w:line="460" w:lineRule="exact"/>
              <w:ind w:firstLineChars="200" w:firstLine="480"/>
              <w:rPr>
                <w:rFonts w:ascii="宋体" w:hAnsi="宋体" w:hint="eastAsia"/>
                <w:sz w:val="24"/>
                <w:szCs w:val="24"/>
              </w:rPr>
            </w:pPr>
            <w:r>
              <w:rPr>
                <w:rFonts w:ascii="宋体" w:hAnsi="宋体" w:hint="eastAsia"/>
                <w:sz w:val="24"/>
                <w:szCs w:val="24"/>
              </w:rPr>
              <w:t>答复:</w:t>
            </w:r>
            <w:r w:rsidRPr="00E25DA5">
              <w:rPr>
                <w:rFonts w:ascii="宋体" w:hAnsi="宋体" w:hint="eastAsia"/>
                <w:sz w:val="24"/>
                <w:szCs w:val="24"/>
              </w:rPr>
              <w:t>五洲交通的高速公路收费业务信息化调整，一方面影响是初期投入时增加了建设成本。另一方面是根据信息化系统投入使用后的行业趋势，人工和运</w:t>
            </w:r>
            <w:proofErr w:type="gramStart"/>
            <w:r w:rsidRPr="00E25DA5">
              <w:rPr>
                <w:rFonts w:ascii="宋体" w:hAnsi="宋体" w:hint="eastAsia"/>
                <w:sz w:val="24"/>
                <w:szCs w:val="24"/>
              </w:rPr>
              <w:t>维成本</w:t>
            </w:r>
            <w:proofErr w:type="gramEnd"/>
            <w:r w:rsidRPr="00E25DA5">
              <w:rPr>
                <w:rFonts w:ascii="宋体" w:hAnsi="宋体" w:hint="eastAsia"/>
                <w:sz w:val="24"/>
                <w:szCs w:val="24"/>
              </w:rPr>
              <w:t>将有一个下降的趋势。表现为通过高速公路信息化管理，及时发现隐患，降低维修成本，且提高通行效率提升带动车流量增长，计费精准，数据积累度高，可为路衍服务经营和高速数据化经济提供新方向，推动公司从单一收过路费向综合服务商转型，盈利能力更可持续。</w:t>
            </w:r>
          </w:p>
          <w:p w:rsidR="00E25DA5" w:rsidRPr="00E25DA5" w:rsidRDefault="00E25DA5" w:rsidP="00E25DA5">
            <w:pPr>
              <w:adjustRightInd w:val="0"/>
              <w:snapToGrid w:val="0"/>
              <w:spacing w:line="460" w:lineRule="exact"/>
              <w:ind w:firstLineChars="200" w:firstLine="480"/>
              <w:rPr>
                <w:rFonts w:ascii="宋体" w:hAnsi="宋体" w:hint="eastAsia"/>
                <w:sz w:val="24"/>
                <w:szCs w:val="24"/>
              </w:rPr>
            </w:pPr>
            <w:r w:rsidRPr="00E25DA5">
              <w:rPr>
                <w:rFonts w:ascii="宋体" w:hAnsi="宋体" w:hint="eastAsia"/>
                <w:sz w:val="24"/>
                <w:szCs w:val="24"/>
              </w:rPr>
              <w:t>四、物流园区服务功能升级（如冷链物流、跨境电商）的进展及预期回报？</w:t>
            </w:r>
          </w:p>
          <w:p w:rsidR="00E25DA5" w:rsidRPr="00E25DA5" w:rsidRDefault="00E25DA5" w:rsidP="00E25DA5">
            <w:pPr>
              <w:adjustRightInd w:val="0"/>
              <w:snapToGrid w:val="0"/>
              <w:spacing w:line="460" w:lineRule="exact"/>
              <w:ind w:firstLineChars="200" w:firstLine="480"/>
              <w:rPr>
                <w:rFonts w:ascii="宋体" w:hAnsi="宋体" w:hint="eastAsia"/>
                <w:sz w:val="24"/>
                <w:szCs w:val="24"/>
              </w:rPr>
            </w:pPr>
            <w:r>
              <w:rPr>
                <w:rFonts w:ascii="宋体" w:hAnsi="宋体" w:hint="eastAsia"/>
                <w:sz w:val="24"/>
                <w:szCs w:val="24"/>
              </w:rPr>
              <w:t>答复:</w:t>
            </w:r>
            <w:r w:rsidRPr="00E25DA5">
              <w:rPr>
                <w:rFonts w:ascii="宋体" w:hAnsi="宋体" w:hint="eastAsia"/>
                <w:sz w:val="24"/>
                <w:szCs w:val="24"/>
              </w:rPr>
              <w:t>五洲交通正系统推进物流园区服务功能升级，目前各板块节点工作按节点有序落地。金桥市场：金桥市场一、二期着力推进“南菜北运”、“北菜南运”基地建设，货源以广西、云南两地为龙头，四川、贵州等西南各省及宁夏、甘肃等少数民族地区为补充，日均蔬菜交易量约3500吨，占南宁市交易量的60%，其中玉米单品的销售量达70%，成为西南农副产品的重要集散中心，销售半径辐射广西全境及海南、广东、湖南及云南部分地市。近期，金桥市场三期项目—广西金桥国际海鲜水产</w:t>
            </w:r>
            <w:proofErr w:type="gramStart"/>
            <w:r w:rsidRPr="00E25DA5">
              <w:rPr>
                <w:rFonts w:ascii="宋体" w:hAnsi="宋体" w:hint="eastAsia"/>
                <w:sz w:val="24"/>
                <w:szCs w:val="24"/>
              </w:rPr>
              <w:t>城启动</w:t>
            </w:r>
            <w:proofErr w:type="gramEnd"/>
            <w:r w:rsidRPr="00E25DA5">
              <w:rPr>
                <w:rFonts w:ascii="宋体" w:hAnsi="宋体" w:hint="eastAsia"/>
                <w:sz w:val="24"/>
                <w:szCs w:val="24"/>
              </w:rPr>
              <w:t>试运营，标志着市场业</w:t>
            </w:r>
            <w:proofErr w:type="gramStart"/>
            <w:r w:rsidRPr="00E25DA5">
              <w:rPr>
                <w:rFonts w:ascii="宋体" w:hAnsi="宋体" w:hint="eastAsia"/>
                <w:sz w:val="24"/>
                <w:szCs w:val="24"/>
              </w:rPr>
              <w:t>态全面</w:t>
            </w:r>
            <w:proofErr w:type="gramEnd"/>
            <w:r w:rsidRPr="00E25DA5">
              <w:rPr>
                <w:rFonts w:ascii="宋体" w:hAnsi="宋体" w:hint="eastAsia"/>
                <w:sz w:val="24"/>
                <w:szCs w:val="24"/>
              </w:rPr>
              <w:t>升级，成为覆盖米面粮油、蔬菜肉禽及水产海鲜的全品类、一站式农产品采购平台。水产城占地约94亩，建筑面积6.5万平方米，规划建设超1000个鱼池、360余间商铺、300多套单间公寓及1000多个车位，按照“规模西南第一、设计科学领先、业态丰富复合、</w:t>
            </w:r>
            <w:r w:rsidRPr="00E25DA5">
              <w:rPr>
                <w:rFonts w:ascii="宋体" w:hAnsi="宋体" w:hint="eastAsia"/>
                <w:sz w:val="24"/>
                <w:szCs w:val="24"/>
              </w:rPr>
              <w:lastRenderedPageBreak/>
              <w:t>功能一站齐全”的定位，打造海鲜水产交易综合体。与此同时，金桥园区以推进光伏入园为契机，打造“物流+能源”模式，赋能绿色低碳园区。公司通过上述手段, 推进金桥园区改造升级，优化金桥园区资源配置，进一步提升市场竞争力。</w:t>
            </w:r>
          </w:p>
          <w:p w:rsidR="00E25DA5" w:rsidRDefault="00E25DA5" w:rsidP="00E25DA5">
            <w:pPr>
              <w:adjustRightInd w:val="0"/>
              <w:snapToGrid w:val="0"/>
              <w:spacing w:line="460" w:lineRule="exact"/>
              <w:ind w:firstLineChars="200" w:firstLine="480"/>
              <w:rPr>
                <w:rFonts w:ascii="宋体" w:hAnsi="宋体" w:hint="eastAsia"/>
                <w:sz w:val="24"/>
                <w:szCs w:val="24"/>
              </w:rPr>
            </w:pPr>
            <w:r w:rsidRPr="00E25DA5">
              <w:rPr>
                <w:rFonts w:ascii="宋体" w:hAnsi="宋体" w:hint="eastAsia"/>
                <w:sz w:val="24"/>
                <w:szCs w:val="24"/>
              </w:rPr>
              <w:t>万通园区：今年内万通园区小改造优化布局，持续采取“引车入园”招商策略带动园区收入，延伸上下游产业链。同时，充分运用园区平台优势，开展榴莲、淀粉、鱼粉等农副产品进出口业务，本年新拓展电</w:t>
            </w:r>
            <w:proofErr w:type="gramStart"/>
            <w:r w:rsidRPr="00E25DA5">
              <w:rPr>
                <w:rFonts w:ascii="宋体" w:hAnsi="宋体" w:hint="eastAsia"/>
                <w:sz w:val="24"/>
                <w:szCs w:val="24"/>
              </w:rPr>
              <w:t>商业务</w:t>
            </w:r>
            <w:proofErr w:type="gramEnd"/>
            <w:r w:rsidRPr="00E25DA5">
              <w:rPr>
                <w:rFonts w:ascii="宋体" w:hAnsi="宋体" w:hint="eastAsia"/>
                <w:sz w:val="24"/>
                <w:szCs w:val="24"/>
              </w:rPr>
              <w:t>板块，采用线上电商、</w:t>
            </w:r>
            <w:proofErr w:type="gramStart"/>
            <w:r w:rsidRPr="00E25DA5">
              <w:rPr>
                <w:rFonts w:ascii="宋体" w:hAnsi="宋体" w:hint="eastAsia"/>
                <w:sz w:val="24"/>
                <w:szCs w:val="24"/>
              </w:rPr>
              <w:t>线下团采购销</w:t>
            </w:r>
            <w:proofErr w:type="gramEnd"/>
            <w:r w:rsidRPr="00E25DA5">
              <w:rPr>
                <w:rFonts w:ascii="宋体" w:hAnsi="宋体" w:hint="eastAsia"/>
                <w:sz w:val="24"/>
                <w:szCs w:val="24"/>
              </w:rPr>
              <w:t>模式，联合广西国际展览集团通过“南疆臻选”小程序进行越南榴莲展销，</w:t>
            </w:r>
            <w:proofErr w:type="gramStart"/>
            <w:r w:rsidRPr="00E25DA5">
              <w:rPr>
                <w:rFonts w:ascii="宋体" w:hAnsi="宋体" w:hint="eastAsia"/>
                <w:sz w:val="24"/>
                <w:szCs w:val="24"/>
              </w:rPr>
              <w:t>实现商</w:t>
            </w:r>
            <w:proofErr w:type="gramEnd"/>
            <w:r w:rsidRPr="00E25DA5">
              <w:rPr>
                <w:rFonts w:ascii="宋体" w:hAnsi="宋体" w:hint="eastAsia"/>
                <w:sz w:val="24"/>
                <w:szCs w:val="24"/>
              </w:rPr>
              <w:t>圈及电</w:t>
            </w:r>
            <w:proofErr w:type="gramStart"/>
            <w:r w:rsidRPr="00E25DA5">
              <w:rPr>
                <w:rFonts w:ascii="宋体" w:hAnsi="宋体" w:hint="eastAsia"/>
                <w:sz w:val="24"/>
                <w:szCs w:val="24"/>
              </w:rPr>
              <w:t>商业务</w:t>
            </w:r>
            <w:proofErr w:type="gramEnd"/>
            <w:r w:rsidRPr="00E25DA5">
              <w:rPr>
                <w:rFonts w:ascii="宋体" w:hAnsi="宋体" w:hint="eastAsia"/>
                <w:sz w:val="24"/>
                <w:szCs w:val="24"/>
              </w:rPr>
              <w:t>收入同比增长。万通园区通过改造园区设施，调整园区布局，打造一个集集散、采购、展示、销售（直播带货）于一体的商业综合体。</w:t>
            </w:r>
          </w:p>
          <w:p w:rsidR="00A25CE1" w:rsidRPr="00A25CE1" w:rsidRDefault="00A25CE1" w:rsidP="00A25CE1">
            <w:pPr>
              <w:adjustRightInd w:val="0"/>
              <w:snapToGrid w:val="0"/>
              <w:spacing w:line="460" w:lineRule="exact"/>
              <w:ind w:firstLineChars="200" w:firstLine="480"/>
              <w:rPr>
                <w:rFonts w:ascii="宋体" w:hAnsi="宋体" w:hint="eastAsia"/>
                <w:sz w:val="24"/>
                <w:szCs w:val="24"/>
              </w:rPr>
            </w:pPr>
            <w:r w:rsidRPr="00A25CE1">
              <w:rPr>
                <w:rFonts w:ascii="宋体" w:hAnsi="宋体" w:hint="eastAsia"/>
                <w:sz w:val="24"/>
                <w:szCs w:val="24"/>
              </w:rPr>
              <w:t>五、公司2025年拟发行可转债募集资金用于G80</w:t>
            </w:r>
            <w:proofErr w:type="gramStart"/>
            <w:r w:rsidRPr="00A25CE1">
              <w:rPr>
                <w:rFonts w:ascii="宋体" w:hAnsi="宋体" w:hint="eastAsia"/>
                <w:sz w:val="24"/>
                <w:szCs w:val="24"/>
              </w:rPr>
              <w:t>广昆高速公路</w:t>
            </w:r>
            <w:proofErr w:type="gramEnd"/>
            <w:r w:rsidRPr="00A25CE1">
              <w:rPr>
                <w:rFonts w:ascii="宋体" w:hAnsi="宋体" w:hint="eastAsia"/>
                <w:sz w:val="24"/>
                <w:szCs w:val="24"/>
              </w:rPr>
              <w:t>改扩建工程。请问200亿投资项目资金缺口如何弥补？是否有备用融资渠道？</w:t>
            </w:r>
          </w:p>
          <w:p w:rsidR="00E25DA5" w:rsidRPr="00A25CE1" w:rsidRDefault="00A25CE1" w:rsidP="007F3B18">
            <w:pPr>
              <w:adjustRightInd w:val="0"/>
              <w:snapToGrid w:val="0"/>
              <w:spacing w:line="460" w:lineRule="exact"/>
              <w:ind w:firstLineChars="200" w:firstLine="480"/>
              <w:rPr>
                <w:rFonts w:ascii="宋体" w:hAnsi="宋体"/>
                <w:sz w:val="24"/>
                <w:szCs w:val="24"/>
              </w:rPr>
            </w:pPr>
            <w:r>
              <w:rPr>
                <w:rFonts w:ascii="宋体" w:hAnsi="宋体" w:hint="eastAsia"/>
                <w:sz w:val="24"/>
                <w:szCs w:val="24"/>
              </w:rPr>
              <w:t>答复:</w:t>
            </w:r>
            <w:r w:rsidRPr="00A25CE1">
              <w:rPr>
                <w:rFonts w:ascii="宋体" w:hAnsi="宋体" w:hint="eastAsia"/>
                <w:sz w:val="24"/>
                <w:szCs w:val="24"/>
              </w:rPr>
              <w:t>公司</w:t>
            </w:r>
            <w:proofErr w:type="gramStart"/>
            <w:r w:rsidRPr="00A25CE1">
              <w:rPr>
                <w:rFonts w:ascii="宋体" w:hAnsi="宋体" w:hint="eastAsia"/>
                <w:sz w:val="24"/>
                <w:szCs w:val="24"/>
              </w:rPr>
              <w:t>坛百改</w:t>
            </w:r>
            <w:proofErr w:type="gramEnd"/>
            <w:r w:rsidRPr="00A25CE1">
              <w:rPr>
                <w:rFonts w:ascii="宋体" w:hAnsi="宋体" w:hint="eastAsia"/>
                <w:sz w:val="24"/>
                <w:szCs w:val="24"/>
              </w:rPr>
              <w:t>扩建项目总投200亿元，其中资本金约40亿元，债务融资约160亿元。目前改扩建项目40亿元资本金目前已到位约9亿元；同时公司每年经营性净现金流入约5-7亿元，可用于改扩建项目资本金；另外公司也向</w:t>
            </w:r>
            <w:bookmarkStart w:id="0" w:name="_GoBack"/>
            <w:bookmarkEnd w:id="0"/>
            <w:r w:rsidRPr="00A25CE1">
              <w:rPr>
                <w:rFonts w:ascii="宋体" w:hAnsi="宋体" w:hint="eastAsia"/>
                <w:sz w:val="24"/>
                <w:szCs w:val="24"/>
              </w:rPr>
              <w:t>政策性银行申请新型政策性金融工具（基金）约6亿元，用于补充坛百改扩建项目资本金；30亿元可转债的募集也在稳步推进。债务融资方面公司也已全面启动银团组建工作，目前已获得各合作银行批复前</w:t>
            </w:r>
            <w:proofErr w:type="gramStart"/>
            <w:r w:rsidRPr="00A25CE1">
              <w:rPr>
                <w:rFonts w:ascii="宋体" w:hAnsi="宋体" w:hint="eastAsia"/>
                <w:sz w:val="24"/>
                <w:szCs w:val="24"/>
              </w:rPr>
              <w:t>期贷</w:t>
            </w:r>
            <w:proofErr w:type="gramEnd"/>
            <w:r w:rsidRPr="00A25CE1">
              <w:rPr>
                <w:rFonts w:ascii="宋体" w:hAnsi="宋体" w:hint="eastAsia"/>
                <w:sz w:val="24"/>
                <w:szCs w:val="24"/>
              </w:rPr>
              <w:t>和</w:t>
            </w:r>
            <w:proofErr w:type="gramStart"/>
            <w:r w:rsidRPr="00A25CE1">
              <w:rPr>
                <w:rFonts w:ascii="宋体" w:hAnsi="宋体" w:hint="eastAsia"/>
                <w:sz w:val="24"/>
                <w:szCs w:val="24"/>
              </w:rPr>
              <w:t>固贷</w:t>
            </w:r>
            <w:proofErr w:type="gramEnd"/>
            <w:r w:rsidRPr="00A25CE1">
              <w:rPr>
                <w:rFonts w:ascii="宋体" w:hAnsi="宋体" w:hint="eastAsia"/>
                <w:sz w:val="24"/>
                <w:szCs w:val="24"/>
              </w:rPr>
              <w:t>授信共计414亿元，可充分覆盖改扩建项目的债务融资。综上，公司</w:t>
            </w:r>
            <w:proofErr w:type="gramStart"/>
            <w:r w:rsidRPr="00A25CE1">
              <w:rPr>
                <w:rFonts w:ascii="宋体" w:hAnsi="宋体" w:hint="eastAsia"/>
                <w:sz w:val="24"/>
                <w:szCs w:val="24"/>
              </w:rPr>
              <w:t>坛百改</w:t>
            </w:r>
            <w:proofErr w:type="gramEnd"/>
            <w:r w:rsidRPr="00A25CE1">
              <w:rPr>
                <w:rFonts w:ascii="宋体" w:hAnsi="宋体" w:hint="eastAsia"/>
                <w:sz w:val="24"/>
                <w:szCs w:val="24"/>
              </w:rPr>
              <w:t>扩建项目暂不存在融资缺口。</w:t>
            </w:r>
          </w:p>
        </w:tc>
      </w:tr>
      <w:tr w:rsidR="00071A12">
        <w:trPr>
          <w:jc w:val="center"/>
        </w:trPr>
        <w:tc>
          <w:tcPr>
            <w:tcW w:w="1217" w:type="dxa"/>
            <w:vAlign w:val="center"/>
          </w:tcPr>
          <w:p w:rsidR="00071A12" w:rsidRDefault="003B7917">
            <w:pPr>
              <w:jc w:val="center"/>
              <w:rPr>
                <w:rFonts w:asciiTheme="minorEastAsia" w:hAnsiTheme="minorEastAsia"/>
                <w:sz w:val="24"/>
                <w:szCs w:val="24"/>
              </w:rPr>
            </w:pPr>
            <w:r>
              <w:rPr>
                <w:rFonts w:asciiTheme="minorEastAsia" w:hAnsiTheme="minorEastAsia" w:hint="eastAsia"/>
                <w:sz w:val="24"/>
                <w:szCs w:val="24"/>
              </w:rPr>
              <w:lastRenderedPageBreak/>
              <w:t>附件清单</w:t>
            </w:r>
          </w:p>
        </w:tc>
        <w:tc>
          <w:tcPr>
            <w:tcW w:w="7255" w:type="dxa"/>
            <w:vAlign w:val="center"/>
          </w:tcPr>
          <w:p w:rsidR="00071A12" w:rsidRDefault="003B7917">
            <w:pPr>
              <w:snapToGrid w:val="0"/>
              <w:spacing w:afterLines="50" w:after="156" w:line="400" w:lineRule="exact"/>
              <w:rPr>
                <w:rFonts w:asciiTheme="minorEastAsia" w:hAnsiTheme="minorEastAsia"/>
                <w:b/>
                <w:bCs/>
                <w:sz w:val="24"/>
                <w:szCs w:val="24"/>
              </w:rPr>
            </w:pPr>
            <w:r>
              <w:rPr>
                <w:rFonts w:asciiTheme="minorEastAsia" w:hAnsiTheme="minorEastAsia"/>
                <w:b/>
                <w:bCs/>
                <w:sz w:val="24"/>
                <w:szCs w:val="24"/>
              </w:rPr>
              <w:t>无</w:t>
            </w:r>
          </w:p>
        </w:tc>
      </w:tr>
    </w:tbl>
    <w:p w:rsidR="00071A12" w:rsidRDefault="00071A12">
      <w:pPr>
        <w:jc w:val="left"/>
        <w:rPr>
          <w:rFonts w:asciiTheme="minorEastAsia" w:hAnsiTheme="minorEastAsia"/>
          <w:sz w:val="24"/>
          <w:szCs w:val="24"/>
        </w:rPr>
      </w:pPr>
    </w:p>
    <w:p w:rsidR="00071A12" w:rsidRDefault="00071A12">
      <w:pPr>
        <w:jc w:val="left"/>
        <w:rPr>
          <w:rFonts w:asciiTheme="minorEastAsia" w:hAnsiTheme="minorEastAsia"/>
          <w:sz w:val="24"/>
          <w:szCs w:val="24"/>
        </w:rPr>
      </w:pPr>
    </w:p>
    <w:sectPr w:rsidR="00071A1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36" w:rsidRDefault="00B25636">
      <w:r>
        <w:separator/>
      </w:r>
    </w:p>
  </w:endnote>
  <w:endnote w:type="continuationSeparator" w:id="0">
    <w:p w:rsidR="00B25636" w:rsidRDefault="00B2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3354"/>
      <w:docPartObj>
        <w:docPartGallery w:val="AutoText"/>
      </w:docPartObj>
    </w:sdtPr>
    <w:sdtEndPr/>
    <w:sdtContent>
      <w:p w:rsidR="00071A12" w:rsidRDefault="003B7917">
        <w:pPr>
          <w:pStyle w:val="a5"/>
          <w:jc w:val="center"/>
        </w:pPr>
        <w:r>
          <w:fldChar w:fldCharType="begin"/>
        </w:r>
        <w:r>
          <w:instrText>PAGE   \* MERGEFORMAT</w:instrText>
        </w:r>
        <w:r>
          <w:fldChar w:fldCharType="separate"/>
        </w:r>
        <w:r w:rsidR="007F3B18" w:rsidRPr="007F3B18">
          <w:rPr>
            <w:noProof/>
            <w:lang w:val="zh-CN"/>
          </w:rPr>
          <w:t>3</w:t>
        </w:r>
        <w:r>
          <w:fldChar w:fldCharType="end"/>
        </w:r>
      </w:p>
    </w:sdtContent>
  </w:sdt>
  <w:p w:rsidR="00071A12" w:rsidRDefault="00071A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36" w:rsidRDefault="00B25636">
      <w:r>
        <w:separator/>
      </w:r>
    </w:p>
  </w:footnote>
  <w:footnote w:type="continuationSeparator" w:id="0">
    <w:p w:rsidR="00B25636" w:rsidRDefault="00B25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12" w:rsidRDefault="003B7917">
    <w:pPr>
      <w:pStyle w:val="a6"/>
      <w:rPr>
        <w:sz w:val="21"/>
        <w:szCs w:val="21"/>
      </w:rPr>
    </w:pPr>
    <w:r>
      <w:rPr>
        <w:rFonts w:hint="eastAsia"/>
        <w:sz w:val="21"/>
        <w:szCs w:val="21"/>
      </w:rPr>
      <w:t>证券代码：</w:t>
    </w:r>
    <w:r>
      <w:rPr>
        <w:rFonts w:hint="eastAsia"/>
        <w:sz w:val="21"/>
        <w:szCs w:val="21"/>
      </w:rPr>
      <w:t>600</w:t>
    </w:r>
    <w:r w:rsidR="00AF531F">
      <w:rPr>
        <w:rFonts w:hint="eastAsia"/>
        <w:sz w:val="21"/>
        <w:szCs w:val="21"/>
      </w:rPr>
      <w:t>368</w:t>
    </w:r>
    <w:r>
      <w:ptab w:relativeTo="margin" w:alignment="center" w:leader="none"/>
    </w:r>
    <w:r>
      <w:ptab w:relativeTo="margin" w:alignment="right" w:leader="none"/>
    </w:r>
    <w:r>
      <w:rPr>
        <w:rFonts w:hint="eastAsia"/>
        <w:sz w:val="21"/>
        <w:szCs w:val="21"/>
      </w:rPr>
      <w:t>证券简称：</w:t>
    </w:r>
    <w:r w:rsidR="00AF531F">
      <w:rPr>
        <w:rFonts w:hint="eastAsia"/>
        <w:sz w:val="21"/>
        <w:szCs w:val="21"/>
      </w:rPr>
      <w:t>五洲交通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ZTg0YWY4NjBlYjk4MjU4OGM4NmUzYzIyYTZmY2IifQ=="/>
  </w:docVars>
  <w:rsids>
    <w:rsidRoot w:val="008A705E"/>
    <w:rsid w:val="00003570"/>
    <w:rsid w:val="00006469"/>
    <w:rsid w:val="0001342D"/>
    <w:rsid w:val="000138CC"/>
    <w:rsid w:val="00013B25"/>
    <w:rsid w:val="00014976"/>
    <w:rsid w:val="00014BEA"/>
    <w:rsid w:val="00015FAD"/>
    <w:rsid w:val="0001633F"/>
    <w:rsid w:val="00016440"/>
    <w:rsid w:val="00017BF6"/>
    <w:rsid w:val="00020E1B"/>
    <w:rsid w:val="00020EFA"/>
    <w:rsid w:val="000224F5"/>
    <w:rsid w:val="00022E5C"/>
    <w:rsid w:val="00026088"/>
    <w:rsid w:val="000264FA"/>
    <w:rsid w:val="000267BD"/>
    <w:rsid w:val="00027F10"/>
    <w:rsid w:val="00035102"/>
    <w:rsid w:val="00035699"/>
    <w:rsid w:val="00040E17"/>
    <w:rsid w:val="00042530"/>
    <w:rsid w:val="000430B2"/>
    <w:rsid w:val="0004373C"/>
    <w:rsid w:val="000443E5"/>
    <w:rsid w:val="00046436"/>
    <w:rsid w:val="00047163"/>
    <w:rsid w:val="0005483E"/>
    <w:rsid w:val="0005642D"/>
    <w:rsid w:val="00057AED"/>
    <w:rsid w:val="00057DD7"/>
    <w:rsid w:val="0006017C"/>
    <w:rsid w:val="00061E88"/>
    <w:rsid w:val="0006213C"/>
    <w:rsid w:val="00062186"/>
    <w:rsid w:val="0006354F"/>
    <w:rsid w:val="000658C6"/>
    <w:rsid w:val="000664F5"/>
    <w:rsid w:val="00066A78"/>
    <w:rsid w:val="000705E4"/>
    <w:rsid w:val="00071A12"/>
    <w:rsid w:val="0007207A"/>
    <w:rsid w:val="00072291"/>
    <w:rsid w:val="00073F37"/>
    <w:rsid w:val="000743B2"/>
    <w:rsid w:val="000747CD"/>
    <w:rsid w:val="00076089"/>
    <w:rsid w:val="00076DE9"/>
    <w:rsid w:val="000821A1"/>
    <w:rsid w:val="00082E42"/>
    <w:rsid w:val="00084BB2"/>
    <w:rsid w:val="00086579"/>
    <w:rsid w:val="00086BEA"/>
    <w:rsid w:val="00093F4D"/>
    <w:rsid w:val="00097C9D"/>
    <w:rsid w:val="00097D50"/>
    <w:rsid w:val="00097E4C"/>
    <w:rsid w:val="000A03B0"/>
    <w:rsid w:val="000A078D"/>
    <w:rsid w:val="000A55E7"/>
    <w:rsid w:val="000A6065"/>
    <w:rsid w:val="000A6FBC"/>
    <w:rsid w:val="000A778C"/>
    <w:rsid w:val="000B1966"/>
    <w:rsid w:val="000B4292"/>
    <w:rsid w:val="000B45A6"/>
    <w:rsid w:val="000B57D5"/>
    <w:rsid w:val="000B71D3"/>
    <w:rsid w:val="000C261C"/>
    <w:rsid w:val="000C3ABC"/>
    <w:rsid w:val="000C41D4"/>
    <w:rsid w:val="000C4D3A"/>
    <w:rsid w:val="000C4D3F"/>
    <w:rsid w:val="000C5A09"/>
    <w:rsid w:val="000C5DDD"/>
    <w:rsid w:val="000C6556"/>
    <w:rsid w:val="000C7068"/>
    <w:rsid w:val="000C7667"/>
    <w:rsid w:val="000D6BEC"/>
    <w:rsid w:val="000D6FFC"/>
    <w:rsid w:val="000D7B2B"/>
    <w:rsid w:val="000E1AA6"/>
    <w:rsid w:val="000E5A24"/>
    <w:rsid w:val="000E652F"/>
    <w:rsid w:val="000E6838"/>
    <w:rsid w:val="000E7525"/>
    <w:rsid w:val="000F0CE6"/>
    <w:rsid w:val="000F15E5"/>
    <w:rsid w:val="000F222C"/>
    <w:rsid w:val="000F2AD3"/>
    <w:rsid w:val="000F3428"/>
    <w:rsid w:val="000F66BE"/>
    <w:rsid w:val="000F6DBA"/>
    <w:rsid w:val="000F7324"/>
    <w:rsid w:val="000F76DC"/>
    <w:rsid w:val="000F7CDE"/>
    <w:rsid w:val="00100BF8"/>
    <w:rsid w:val="001012D5"/>
    <w:rsid w:val="00101ACC"/>
    <w:rsid w:val="00103E8B"/>
    <w:rsid w:val="001070C6"/>
    <w:rsid w:val="00112DAC"/>
    <w:rsid w:val="001130B6"/>
    <w:rsid w:val="00113EB8"/>
    <w:rsid w:val="001155A1"/>
    <w:rsid w:val="001159D8"/>
    <w:rsid w:val="00117C89"/>
    <w:rsid w:val="0012510F"/>
    <w:rsid w:val="001270DF"/>
    <w:rsid w:val="001270F7"/>
    <w:rsid w:val="00131823"/>
    <w:rsid w:val="00132300"/>
    <w:rsid w:val="00132628"/>
    <w:rsid w:val="00134786"/>
    <w:rsid w:val="00134CD2"/>
    <w:rsid w:val="00135213"/>
    <w:rsid w:val="001354BB"/>
    <w:rsid w:val="00140F33"/>
    <w:rsid w:val="001412B0"/>
    <w:rsid w:val="0014186F"/>
    <w:rsid w:val="00142D9E"/>
    <w:rsid w:val="00145BDF"/>
    <w:rsid w:val="00146A43"/>
    <w:rsid w:val="001524CA"/>
    <w:rsid w:val="00152F23"/>
    <w:rsid w:val="00156964"/>
    <w:rsid w:val="00156B40"/>
    <w:rsid w:val="0015798F"/>
    <w:rsid w:val="00157FFC"/>
    <w:rsid w:val="00160353"/>
    <w:rsid w:val="00160550"/>
    <w:rsid w:val="00160755"/>
    <w:rsid w:val="00160E99"/>
    <w:rsid w:val="001615AE"/>
    <w:rsid w:val="00161BD9"/>
    <w:rsid w:val="0016369F"/>
    <w:rsid w:val="00164F88"/>
    <w:rsid w:val="00165AE9"/>
    <w:rsid w:val="00165C80"/>
    <w:rsid w:val="00166C4F"/>
    <w:rsid w:val="00167BCF"/>
    <w:rsid w:val="0017071E"/>
    <w:rsid w:val="00171378"/>
    <w:rsid w:val="00171687"/>
    <w:rsid w:val="00172277"/>
    <w:rsid w:val="00172EDF"/>
    <w:rsid w:val="00176309"/>
    <w:rsid w:val="00176B47"/>
    <w:rsid w:val="00176F71"/>
    <w:rsid w:val="0018172E"/>
    <w:rsid w:val="001828A1"/>
    <w:rsid w:val="001837A4"/>
    <w:rsid w:val="00183C71"/>
    <w:rsid w:val="00183FD0"/>
    <w:rsid w:val="00184249"/>
    <w:rsid w:val="001846A2"/>
    <w:rsid w:val="00184A47"/>
    <w:rsid w:val="00191AD3"/>
    <w:rsid w:val="00192025"/>
    <w:rsid w:val="0019264E"/>
    <w:rsid w:val="00192F21"/>
    <w:rsid w:val="001940BE"/>
    <w:rsid w:val="0019424C"/>
    <w:rsid w:val="00195078"/>
    <w:rsid w:val="001951C8"/>
    <w:rsid w:val="00195982"/>
    <w:rsid w:val="00195E02"/>
    <w:rsid w:val="001A06D5"/>
    <w:rsid w:val="001A306D"/>
    <w:rsid w:val="001A56E5"/>
    <w:rsid w:val="001A6734"/>
    <w:rsid w:val="001A7359"/>
    <w:rsid w:val="001B02B0"/>
    <w:rsid w:val="001B066E"/>
    <w:rsid w:val="001B2A24"/>
    <w:rsid w:val="001B2F49"/>
    <w:rsid w:val="001B3988"/>
    <w:rsid w:val="001B4157"/>
    <w:rsid w:val="001B4415"/>
    <w:rsid w:val="001B6084"/>
    <w:rsid w:val="001B7F94"/>
    <w:rsid w:val="001C0292"/>
    <w:rsid w:val="001C2B7A"/>
    <w:rsid w:val="001C4ABB"/>
    <w:rsid w:val="001C5B62"/>
    <w:rsid w:val="001C74D4"/>
    <w:rsid w:val="001C7620"/>
    <w:rsid w:val="001C7D32"/>
    <w:rsid w:val="001D0492"/>
    <w:rsid w:val="001D0EDD"/>
    <w:rsid w:val="001D25DB"/>
    <w:rsid w:val="001D300A"/>
    <w:rsid w:val="001D51D2"/>
    <w:rsid w:val="001E1BC1"/>
    <w:rsid w:val="001E2EF5"/>
    <w:rsid w:val="001E3235"/>
    <w:rsid w:val="001E4B83"/>
    <w:rsid w:val="001E4CFB"/>
    <w:rsid w:val="001E56C7"/>
    <w:rsid w:val="001F0425"/>
    <w:rsid w:val="001F3CAC"/>
    <w:rsid w:val="001F3E9E"/>
    <w:rsid w:val="001F59E8"/>
    <w:rsid w:val="001F5D51"/>
    <w:rsid w:val="001F61AE"/>
    <w:rsid w:val="001F7AB7"/>
    <w:rsid w:val="001F7BF8"/>
    <w:rsid w:val="0020058C"/>
    <w:rsid w:val="00201CD8"/>
    <w:rsid w:val="002033F6"/>
    <w:rsid w:val="00205520"/>
    <w:rsid w:val="0020573E"/>
    <w:rsid w:val="00205C00"/>
    <w:rsid w:val="00207251"/>
    <w:rsid w:val="0020774A"/>
    <w:rsid w:val="0021389A"/>
    <w:rsid w:val="00216E5E"/>
    <w:rsid w:val="0022002F"/>
    <w:rsid w:val="002219CD"/>
    <w:rsid w:val="00224EFF"/>
    <w:rsid w:val="00231F78"/>
    <w:rsid w:val="00233218"/>
    <w:rsid w:val="00233BB6"/>
    <w:rsid w:val="002341A0"/>
    <w:rsid w:val="00234C8A"/>
    <w:rsid w:val="00234DC5"/>
    <w:rsid w:val="002374C8"/>
    <w:rsid w:val="00237CD4"/>
    <w:rsid w:val="00237F1A"/>
    <w:rsid w:val="0024029A"/>
    <w:rsid w:val="002407B0"/>
    <w:rsid w:val="00240E71"/>
    <w:rsid w:val="00242600"/>
    <w:rsid w:val="00246193"/>
    <w:rsid w:val="0024644D"/>
    <w:rsid w:val="00247066"/>
    <w:rsid w:val="0024773C"/>
    <w:rsid w:val="00250164"/>
    <w:rsid w:val="002508D5"/>
    <w:rsid w:val="002508F4"/>
    <w:rsid w:val="0025141B"/>
    <w:rsid w:val="00252422"/>
    <w:rsid w:val="00253FC7"/>
    <w:rsid w:val="002558EA"/>
    <w:rsid w:val="002562C2"/>
    <w:rsid w:val="002567EB"/>
    <w:rsid w:val="00257E30"/>
    <w:rsid w:val="002604AA"/>
    <w:rsid w:val="0026112A"/>
    <w:rsid w:val="00261185"/>
    <w:rsid w:val="00261CFA"/>
    <w:rsid w:val="00261FFA"/>
    <w:rsid w:val="00262690"/>
    <w:rsid w:val="0026294C"/>
    <w:rsid w:val="002632D5"/>
    <w:rsid w:val="00263951"/>
    <w:rsid w:val="00263B20"/>
    <w:rsid w:val="00263B56"/>
    <w:rsid w:val="002646CA"/>
    <w:rsid w:val="00264D86"/>
    <w:rsid w:val="00265F87"/>
    <w:rsid w:val="002703B4"/>
    <w:rsid w:val="0027183D"/>
    <w:rsid w:val="0027349D"/>
    <w:rsid w:val="00273CCA"/>
    <w:rsid w:val="0027617D"/>
    <w:rsid w:val="00277F03"/>
    <w:rsid w:val="00280DC1"/>
    <w:rsid w:val="00280F2E"/>
    <w:rsid w:val="0028301B"/>
    <w:rsid w:val="002844B9"/>
    <w:rsid w:val="00284E44"/>
    <w:rsid w:val="00285031"/>
    <w:rsid w:val="00294004"/>
    <w:rsid w:val="002949A6"/>
    <w:rsid w:val="00294FEA"/>
    <w:rsid w:val="00296D2E"/>
    <w:rsid w:val="002A090C"/>
    <w:rsid w:val="002A5B59"/>
    <w:rsid w:val="002A6CC9"/>
    <w:rsid w:val="002A7581"/>
    <w:rsid w:val="002B13C2"/>
    <w:rsid w:val="002B150B"/>
    <w:rsid w:val="002B3775"/>
    <w:rsid w:val="002B393E"/>
    <w:rsid w:val="002C1925"/>
    <w:rsid w:val="002C3B9C"/>
    <w:rsid w:val="002C5BC5"/>
    <w:rsid w:val="002C71B4"/>
    <w:rsid w:val="002C78F8"/>
    <w:rsid w:val="002C7B55"/>
    <w:rsid w:val="002D067E"/>
    <w:rsid w:val="002D0CA7"/>
    <w:rsid w:val="002D27A4"/>
    <w:rsid w:val="002D4CC1"/>
    <w:rsid w:val="002D7380"/>
    <w:rsid w:val="002E01FB"/>
    <w:rsid w:val="002E13E9"/>
    <w:rsid w:val="002E16DA"/>
    <w:rsid w:val="002E2A75"/>
    <w:rsid w:val="002E3432"/>
    <w:rsid w:val="002E352F"/>
    <w:rsid w:val="002E49CD"/>
    <w:rsid w:val="002E4E39"/>
    <w:rsid w:val="002E5166"/>
    <w:rsid w:val="002E640D"/>
    <w:rsid w:val="002E737C"/>
    <w:rsid w:val="002E7452"/>
    <w:rsid w:val="002E7EA1"/>
    <w:rsid w:val="002F6051"/>
    <w:rsid w:val="00303CF4"/>
    <w:rsid w:val="00303F1E"/>
    <w:rsid w:val="00304D7F"/>
    <w:rsid w:val="00305AE9"/>
    <w:rsid w:val="003110AD"/>
    <w:rsid w:val="00311D29"/>
    <w:rsid w:val="00315A88"/>
    <w:rsid w:val="00317F6C"/>
    <w:rsid w:val="00320B6A"/>
    <w:rsid w:val="00320C1F"/>
    <w:rsid w:val="003224A8"/>
    <w:rsid w:val="003234A8"/>
    <w:rsid w:val="00323D3D"/>
    <w:rsid w:val="00325BB8"/>
    <w:rsid w:val="00327B75"/>
    <w:rsid w:val="00330384"/>
    <w:rsid w:val="003311D3"/>
    <w:rsid w:val="00331975"/>
    <w:rsid w:val="00331B02"/>
    <w:rsid w:val="00332DE6"/>
    <w:rsid w:val="00333283"/>
    <w:rsid w:val="00334002"/>
    <w:rsid w:val="00336DDA"/>
    <w:rsid w:val="00337515"/>
    <w:rsid w:val="00337B32"/>
    <w:rsid w:val="00340E5D"/>
    <w:rsid w:val="0034226A"/>
    <w:rsid w:val="003430CB"/>
    <w:rsid w:val="0034452D"/>
    <w:rsid w:val="00345F40"/>
    <w:rsid w:val="0035655A"/>
    <w:rsid w:val="00356AEF"/>
    <w:rsid w:val="00357A42"/>
    <w:rsid w:val="00360EB4"/>
    <w:rsid w:val="00361CDC"/>
    <w:rsid w:val="00363F56"/>
    <w:rsid w:val="0037006D"/>
    <w:rsid w:val="003709D5"/>
    <w:rsid w:val="00370EBA"/>
    <w:rsid w:val="003729A7"/>
    <w:rsid w:val="00380E20"/>
    <w:rsid w:val="003814A3"/>
    <w:rsid w:val="00383ACE"/>
    <w:rsid w:val="00384A42"/>
    <w:rsid w:val="003867DE"/>
    <w:rsid w:val="00386B45"/>
    <w:rsid w:val="003878FF"/>
    <w:rsid w:val="00390D49"/>
    <w:rsid w:val="003962B6"/>
    <w:rsid w:val="0039789D"/>
    <w:rsid w:val="003A0F1F"/>
    <w:rsid w:val="003A1325"/>
    <w:rsid w:val="003A24F2"/>
    <w:rsid w:val="003A46E6"/>
    <w:rsid w:val="003A490E"/>
    <w:rsid w:val="003A5352"/>
    <w:rsid w:val="003A5E6F"/>
    <w:rsid w:val="003A796F"/>
    <w:rsid w:val="003B0D03"/>
    <w:rsid w:val="003B1A8D"/>
    <w:rsid w:val="003B220D"/>
    <w:rsid w:val="003B321F"/>
    <w:rsid w:val="003B509F"/>
    <w:rsid w:val="003B54D8"/>
    <w:rsid w:val="003B599E"/>
    <w:rsid w:val="003B65A6"/>
    <w:rsid w:val="003B7917"/>
    <w:rsid w:val="003C29CA"/>
    <w:rsid w:val="003C3156"/>
    <w:rsid w:val="003C4136"/>
    <w:rsid w:val="003C62FE"/>
    <w:rsid w:val="003D052F"/>
    <w:rsid w:val="003D06FA"/>
    <w:rsid w:val="003D1475"/>
    <w:rsid w:val="003D249C"/>
    <w:rsid w:val="003D418F"/>
    <w:rsid w:val="003E112D"/>
    <w:rsid w:val="003E1C86"/>
    <w:rsid w:val="003E1CFE"/>
    <w:rsid w:val="003E2129"/>
    <w:rsid w:val="003E2F62"/>
    <w:rsid w:val="003E38CF"/>
    <w:rsid w:val="003E3995"/>
    <w:rsid w:val="003E5BAF"/>
    <w:rsid w:val="003F4E9A"/>
    <w:rsid w:val="003F598E"/>
    <w:rsid w:val="003F755C"/>
    <w:rsid w:val="003F7B5A"/>
    <w:rsid w:val="00400700"/>
    <w:rsid w:val="00400E62"/>
    <w:rsid w:val="0040548E"/>
    <w:rsid w:val="00405AC8"/>
    <w:rsid w:val="00406FF6"/>
    <w:rsid w:val="00410DB8"/>
    <w:rsid w:val="00411B64"/>
    <w:rsid w:val="00411FF7"/>
    <w:rsid w:val="00412363"/>
    <w:rsid w:val="00414CD7"/>
    <w:rsid w:val="004151B0"/>
    <w:rsid w:val="00415EA9"/>
    <w:rsid w:val="004172E2"/>
    <w:rsid w:val="004205DF"/>
    <w:rsid w:val="004206CB"/>
    <w:rsid w:val="004224E9"/>
    <w:rsid w:val="00422A20"/>
    <w:rsid w:val="00422BB0"/>
    <w:rsid w:val="004266A2"/>
    <w:rsid w:val="00427E78"/>
    <w:rsid w:val="004317A2"/>
    <w:rsid w:val="00433F06"/>
    <w:rsid w:val="00434ECE"/>
    <w:rsid w:val="00436EFC"/>
    <w:rsid w:val="00436FF2"/>
    <w:rsid w:val="0043741B"/>
    <w:rsid w:val="004446DD"/>
    <w:rsid w:val="00445151"/>
    <w:rsid w:val="00445858"/>
    <w:rsid w:val="00450060"/>
    <w:rsid w:val="0045069C"/>
    <w:rsid w:val="00450D1D"/>
    <w:rsid w:val="004516A7"/>
    <w:rsid w:val="004526F2"/>
    <w:rsid w:val="0045577E"/>
    <w:rsid w:val="004557A4"/>
    <w:rsid w:val="00455D45"/>
    <w:rsid w:val="00457774"/>
    <w:rsid w:val="004577F8"/>
    <w:rsid w:val="0046043B"/>
    <w:rsid w:val="00460498"/>
    <w:rsid w:val="004617F4"/>
    <w:rsid w:val="00462427"/>
    <w:rsid w:val="004631C4"/>
    <w:rsid w:val="004642FE"/>
    <w:rsid w:val="00466E1C"/>
    <w:rsid w:val="00466E42"/>
    <w:rsid w:val="00466F82"/>
    <w:rsid w:val="00467CA0"/>
    <w:rsid w:val="004707B5"/>
    <w:rsid w:val="00471474"/>
    <w:rsid w:val="004716DB"/>
    <w:rsid w:val="00472465"/>
    <w:rsid w:val="00472B66"/>
    <w:rsid w:val="00472C0D"/>
    <w:rsid w:val="00473BE0"/>
    <w:rsid w:val="00474B72"/>
    <w:rsid w:val="00477501"/>
    <w:rsid w:val="00477F44"/>
    <w:rsid w:val="00480542"/>
    <w:rsid w:val="004813ED"/>
    <w:rsid w:val="00482E51"/>
    <w:rsid w:val="00483F15"/>
    <w:rsid w:val="00484E65"/>
    <w:rsid w:val="00486C0C"/>
    <w:rsid w:val="00486C2D"/>
    <w:rsid w:val="004918BF"/>
    <w:rsid w:val="0049223D"/>
    <w:rsid w:val="00492635"/>
    <w:rsid w:val="00493AC8"/>
    <w:rsid w:val="004972BE"/>
    <w:rsid w:val="004A015D"/>
    <w:rsid w:val="004A0D7A"/>
    <w:rsid w:val="004A14AF"/>
    <w:rsid w:val="004A351F"/>
    <w:rsid w:val="004A42C3"/>
    <w:rsid w:val="004A7834"/>
    <w:rsid w:val="004A7AD4"/>
    <w:rsid w:val="004A7DC4"/>
    <w:rsid w:val="004B0A16"/>
    <w:rsid w:val="004B677D"/>
    <w:rsid w:val="004C002E"/>
    <w:rsid w:val="004C39B8"/>
    <w:rsid w:val="004C433F"/>
    <w:rsid w:val="004D032F"/>
    <w:rsid w:val="004D054A"/>
    <w:rsid w:val="004D1AC0"/>
    <w:rsid w:val="004D3DFB"/>
    <w:rsid w:val="004D5D8F"/>
    <w:rsid w:val="004D77F4"/>
    <w:rsid w:val="004E379E"/>
    <w:rsid w:val="004E46CD"/>
    <w:rsid w:val="004E4C0C"/>
    <w:rsid w:val="004E7DD0"/>
    <w:rsid w:val="004F1AA7"/>
    <w:rsid w:val="004F1D93"/>
    <w:rsid w:val="004F2CAE"/>
    <w:rsid w:val="004F4531"/>
    <w:rsid w:val="004F4DE9"/>
    <w:rsid w:val="004F5B67"/>
    <w:rsid w:val="004F5B82"/>
    <w:rsid w:val="004F7AF4"/>
    <w:rsid w:val="004F7B33"/>
    <w:rsid w:val="00501D16"/>
    <w:rsid w:val="00512D05"/>
    <w:rsid w:val="00513FBF"/>
    <w:rsid w:val="0051538B"/>
    <w:rsid w:val="00515E7F"/>
    <w:rsid w:val="00520D6F"/>
    <w:rsid w:val="005212FA"/>
    <w:rsid w:val="005217BA"/>
    <w:rsid w:val="005218AF"/>
    <w:rsid w:val="00522F21"/>
    <w:rsid w:val="00524122"/>
    <w:rsid w:val="00524163"/>
    <w:rsid w:val="00524903"/>
    <w:rsid w:val="005252CD"/>
    <w:rsid w:val="0052651F"/>
    <w:rsid w:val="005265EC"/>
    <w:rsid w:val="0052684C"/>
    <w:rsid w:val="00526E36"/>
    <w:rsid w:val="005300E3"/>
    <w:rsid w:val="00530F4C"/>
    <w:rsid w:val="00532022"/>
    <w:rsid w:val="005336E2"/>
    <w:rsid w:val="005347A0"/>
    <w:rsid w:val="0053534B"/>
    <w:rsid w:val="005354E5"/>
    <w:rsid w:val="00536A67"/>
    <w:rsid w:val="0054240E"/>
    <w:rsid w:val="00542815"/>
    <w:rsid w:val="00542B68"/>
    <w:rsid w:val="00547BA7"/>
    <w:rsid w:val="005516CC"/>
    <w:rsid w:val="00552F13"/>
    <w:rsid w:val="0055566C"/>
    <w:rsid w:val="005565BB"/>
    <w:rsid w:val="00562769"/>
    <w:rsid w:val="00562A4A"/>
    <w:rsid w:val="00562EC1"/>
    <w:rsid w:val="005637C0"/>
    <w:rsid w:val="00565344"/>
    <w:rsid w:val="00565FC5"/>
    <w:rsid w:val="005662D8"/>
    <w:rsid w:val="005666E4"/>
    <w:rsid w:val="00566CC2"/>
    <w:rsid w:val="00570258"/>
    <w:rsid w:val="00572138"/>
    <w:rsid w:val="00572FD0"/>
    <w:rsid w:val="005804F5"/>
    <w:rsid w:val="005804FC"/>
    <w:rsid w:val="0058099D"/>
    <w:rsid w:val="00580AE7"/>
    <w:rsid w:val="005816BA"/>
    <w:rsid w:val="00582522"/>
    <w:rsid w:val="00582B67"/>
    <w:rsid w:val="005831EC"/>
    <w:rsid w:val="0058403F"/>
    <w:rsid w:val="00585506"/>
    <w:rsid w:val="00585ACC"/>
    <w:rsid w:val="005901E1"/>
    <w:rsid w:val="00590A38"/>
    <w:rsid w:val="00593288"/>
    <w:rsid w:val="005933A0"/>
    <w:rsid w:val="005940D1"/>
    <w:rsid w:val="00596959"/>
    <w:rsid w:val="00596AC1"/>
    <w:rsid w:val="005978E2"/>
    <w:rsid w:val="00597F8B"/>
    <w:rsid w:val="005A15E6"/>
    <w:rsid w:val="005A1847"/>
    <w:rsid w:val="005A20CE"/>
    <w:rsid w:val="005A30E1"/>
    <w:rsid w:val="005A3995"/>
    <w:rsid w:val="005A5D9D"/>
    <w:rsid w:val="005B0B15"/>
    <w:rsid w:val="005B15AA"/>
    <w:rsid w:val="005B1874"/>
    <w:rsid w:val="005B33DB"/>
    <w:rsid w:val="005B3EC8"/>
    <w:rsid w:val="005B74AE"/>
    <w:rsid w:val="005B7B92"/>
    <w:rsid w:val="005B7C4E"/>
    <w:rsid w:val="005C04E0"/>
    <w:rsid w:val="005C12DA"/>
    <w:rsid w:val="005C1F58"/>
    <w:rsid w:val="005C2104"/>
    <w:rsid w:val="005C24C4"/>
    <w:rsid w:val="005C4853"/>
    <w:rsid w:val="005C6A35"/>
    <w:rsid w:val="005D2135"/>
    <w:rsid w:val="005D381C"/>
    <w:rsid w:val="005D4392"/>
    <w:rsid w:val="005D5F63"/>
    <w:rsid w:val="005D6128"/>
    <w:rsid w:val="005E1AA3"/>
    <w:rsid w:val="005E2717"/>
    <w:rsid w:val="005E5880"/>
    <w:rsid w:val="005E5B93"/>
    <w:rsid w:val="005E6364"/>
    <w:rsid w:val="005E64C6"/>
    <w:rsid w:val="005E6EC0"/>
    <w:rsid w:val="005E6F7D"/>
    <w:rsid w:val="005F1855"/>
    <w:rsid w:val="005F2037"/>
    <w:rsid w:val="005F2506"/>
    <w:rsid w:val="005F369A"/>
    <w:rsid w:val="005F75C9"/>
    <w:rsid w:val="005F76EB"/>
    <w:rsid w:val="006015A7"/>
    <w:rsid w:val="00601D36"/>
    <w:rsid w:val="00602617"/>
    <w:rsid w:val="00603FA5"/>
    <w:rsid w:val="00604DB0"/>
    <w:rsid w:val="00605326"/>
    <w:rsid w:val="00605A05"/>
    <w:rsid w:val="00610244"/>
    <w:rsid w:val="0061253E"/>
    <w:rsid w:val="00612F94"/>
    <w:rsid w:val="00615283"/>
    <w:rsid w:val="00616B71"/>
    <w:rsid w:val="0061796A"/>
    <w:rsid w:val="00620B74"/>
    <w:rsid w:val="0062279A"/>
    <w:rsid w:val="00623EA3"/>
    <w:rsid w:val="006263F1"/>
    <w:rsid w:val="00626B37"/>
    <w:rsid w:val="0063134A"/>
    <w:rsid w:val="006319E4"/>
    <w:rsid w:val="00633585"/>
    <w:rsid w:val="00633945"/>
    <w:rsid w:val="00634241"/>
    <w:rsid w:val="0063447C"/>
    <w:rsid w:val="006351B0"/>
    <w:rsid w:val="00635463"/>
    <w:rsid w:val="006373BF"/>
    <w:rsid w:val="0064199A"/>
    <w:rsid w:val="00642E8F"/>
    <w:rsid w:val="0064447C"/>
    <w:rsid w:val="0064770F"/>
    <w:rsid w:val="00651051"/>
    <w:rsid w:val="00651997"/>
    <w:rsid w:val="00652D58"/>
    <w:rsid w:val="00654148"/>
    <w:rsid w:val="006545A5"/>
    <w:rsid w:val="00654E03"/>
    <w:rsid w:val="0065597B"/>
    <w:rsid w:val="00657327"/>
    <w:rsid w:val="0066298E"/>
    <w:rsid w:val="006648EE"/>
    <w:rsid w:val="0066636A"/>
    <w:rsid w:val="006732BC"/>
    <w:rsid w:val="006739FC"/>
    <w:rsid w:val="006762FA"/>
    <w:rsid w:val="00676A97"/>
    <w:rsid w:val="006820C5"/>
    <w:rsid w:val="0068302A"/>
    <w:rsid w:val="00683A20"/>
    <w:rsid w:val="006855CA"/>
    <w:rsid w:val="00685A91"/>
    <w:rsid w:val="006867CE"/>
    <w:rsid w:val="00686E98"/>
    <w:rsid w:val="00686F6F"/>
    <w:rsid w:val="00687DF7"/>
    <w:rsid w:val="00687ED0"/>
    <w:rsid w:val="0069249B"/>
    <w:rsid w:val="00692BF3"/>
    <w:rsid w:val="006942E2"/>
    <w:rsid w:val="00694ACC"/>
    <w:rsid w:val="006972CF"/>
    <w:rsid w:val="00697C0D"/>
    <w:rsid w:val="006A0E11"/>
    <w:rsid w:val="006A179A"/>
    <w:rsid w:val="006A22E1"/>
    <w:rsid w:val="006A44F4"/>
    <w:rsid w:val="006A44FD"/>
    <w:rsid w:val="006A4D1C"/>
    <w:rsid w:val="006A4FDC"/>
    <w:rsid w:val="006A6E77"/>
    <w:rsid w:val="006B02A5"/>
    <w:rsid w:val="006B2D47"/>
    <w:rsid w:val="006B5374"/>
    <w:rsid w:val="006B592B"/>
    <w:rsid w:val="006B6505"/>
    <w:rsid w:val="006B7F08"/>
    <w:rsid w:val="006C0DB5"/>
    <w:rsid w:val="006C144F"/>
    <w:rsid w:val="006C5016"/>
    <w:rsid w:val="006C5910"/>
    <w:rsid w:val="006C63D1"/>
    <w:rsid w:val="006C6B01"/>
    <w:rsid w:val="006D38AB"/>
    <w:rsid w:val="006D3D56"/>
    <w:rsid w:val="006D456B"/>
    <w:rsid w:val="006D63D3"/>
    <w:rsid w:val="006E20D8"/>
    <w:rsid w:val="006E3C15"/>
    <w:rsid w:val="006E4F9A"/>
    <w:rsid w:val="006E6774"/>
    <w:rsid w:val="006E6E74"/>
    <w:rsid w:val="006F1156"/>
    <w:rsid w:val="006F12AF"/>
    <w:rsid w:val="006F2F6F"/>
    <w:rsid w:val="007024AF"/>
    <w:rsid w:val="007026AD"/>
    <w:rsid w:val="0070318A"/>
    <w:rsid w:val="00704554"/>
    <w:rsid w:val="00706D6E"/>
    <w:rsid w:val="00706E09"/>
    <w:rsid w:val="00710A40"/>
    <w:rsid w:val="0071244F"/>
    <w:rsid w:val="00712DA7"/>
    <w:rsid w:val="007152E9"/>
    <w:rsid w:val="00715479"/>
    <w:rsid w:val="00715B6E"/>
    <w:rsid w:val="00716358"/>
    <w:rsid w:val="00716603"/>
    <w:rsid w:val="00716626"/>
    <w:rsid w:val="00720074"/>
    <w:rsid w:val="00721BB8"/>
    <w:rsid w:val="00722718"/>
    <w:rsid w:val="0072283E"/>
    <w:rsid w:val="00722FD1"/>
    <w:rsid w:val="0072560C"/>
    <w:rsid w:val="0072632F"/>
    <w:rsid w:val="007314A8"/>
    <w:rsid w:val="007324A5"/>
    <w:rsid w:val="00734E57"/>
    <w:rsid w:val="00736869"/>
    <w:rsid w:val="0073772B"/>
    <w:rsid w:val="00741200"/>
    <w:rsid w:val="0074291B"/>
    <w:rsid w:val="00743649"/>
    <w:rsid w:val="00743B46"/>
    <w:rsid w:val="00745AE2"/>
    <w:rsid w:val="00746164"/>
    <w:rsid w:val="00750C30"/>
    <w:rsid w:val="0075108C"/>
    <w:rsid w:val="00751558"/>
    <w:rsid w:val="007516A1"/>
    <w:rsid w:val="00753A66"/>
    <w:rsid w:val="0075408C"/>
    <w:rsid w:val="00754812"/>
    <w:rsid w:val="0075598F"/>
    <w:rsid w:val="00755B4E"/>
    <w:rsid w:val="00761E37"/>
    <w:rsid w:val="007747F6"/>
    <w:rsid w:val="00774B4C"/>
    <w:rsid w:val="00774E8B"/>
    <w:rsid w:val="007750A2"/>
    <w:rsid w:val="007760BF"/>
    <w:rsid w:val="00780D5C"/>
    <w:rsid w:val="00780E04"/>
    <w:rsid w:val="0078450B"/>
    <w:rsid w:val="00790A91"/>
    <w:rsid w:val="00790B8B"/>
    <w:rsid w:val="00790FD6"/>
    <w:rsid w:val="00791D4B"/>
    <w:rsid w:val="00792D1A"/>
    <w:rsid w:val="00793255"/>
    <w:rsid w:val="00794642"/>
    <w:rsid w:val="00795403"/>
    <w:rsid w:val="007955FC"/>
    <w:rsid w:val="00795B01"/>
    <w:rsid w:val="0079619C"/>
    <w:rsid w:val="00796426"/>
    <w:rsid w:val="007978E4"/>
    <w:rsid w:val="007A3CEC"/>
    <w:rsid w:val="007A4C74"/>
    <w:rsid w:val="007A658C"/>
    <w:rsid w:val="007A6F11"/>
    <w:rsid w:val="007A7D4A"/>
    <w:rsid w:val="007B1256"/>
    <w:rsid w:val="007B3A9D"/>
    <w:rsid w:val="007B3DC7"/>
    <w:rsid w:val="007B4176"/>
    <w:rsid w:val="007B7B2D"/>
    <w:rsid w:val="007B7C4A"/>
    <w:rsid w:val="007B7CC6"/>
    <w:rsid w:val="007C0A78"/>
    <w:rsid w:val="007C1AD9"/>
    <w:rsid w:val="007C1C90"/>
    <w:rsid w:val="007C31B8"/>
    <w:rsid w:val="007C4D46"/>
    <w:rsid w:val="007C6E3D"/>
    <w:rsid w:val="007C710C"/>
    <w:rsid w:val="007D098A"/>
    <w:rsid w:val="007D1C39"/>
    <w:rsid w:val="007D2160"/>
    <w:rsid w:val="007D5D53"/>
    <w:rsid w:val="007D5E84"/>
    <w:rsid w:val="007D6F9D"/>
    <w:rsid w:val="007E1A71"/>
    <w:rsid w:val="007E1BE5"/>
    <w:rsid w:val="007E1F15"/>
    <w:rsid w:val="007E28D3"/>
    <w:rsid w:val="007E303B"/>
    <w:rsid w:val="007E3580"/>
    <w:rsid w:val="007E405F"/>
    <w:rsid w:val="007E4900"/>
    <w:rsid w:val="007E4A8F"/>
    <w:rsid w:val="007E52C3"/>
    <w:rsid w:val="007F1CE3"/>
    <w:rsid w:val="007F2D48"/>
    <w:rsid w:val="007F34CF"/>
    <w:rsid w:val="007F3B18"/>
    <w:rsid w:val="007F505E"/>
    <w:rsid w:val="007F5EEE"/>
    <w:rsid w:val="00800142"/>
    <w:rsid w:val="00802A17"/>
    <w:rsid w:val="00802DEC"/>
    <w:rsid w:val="008050FE"/>
    <w:rsid w:val="00805565"/>
    <w:rsid w:val="00805E74"/>
    <w:rsid w:val="008062EF"/>
    <w:rsid w:val="00807592"/>
    <w:rsid w:val="008078DF"/>
    <w:rsid w:val="00813138"/>
    <w:rsid w:val="00815893"/>
    <w:rsid w:val="00816D38"/>
    <w:rsid w:val="00817518"/>
    <w:rsid w:val="00817AB1"/>
    <w:rsid w:val="00821A0F"/>
    <w:rsid w:val="00822541"/>
    <w:rsid w:val="0082402D"/>
    <w:rsid w:val="00824819"/>
    <w:rsid w:val="00826586"/>
    <w:rsid w:val="00826ED2"/>
    <w:rsid w:val="008301D9"/>
    <w:rsid w:val="008323BF"/>
    <w:rsid w:val="008364E9"/>
    <w:rsid w:val="008408AD"/>
    <w:rsid w:val="00844E65"/>
    <w:rsid w:val="008472A8"/>
    <w:rsid w:val="008472B9"/>
    <w:rsid w:val="00847767"/>
    <w:rsid w:val="00852BBA"/>
    <w:rsid w:val="00853B19"/>
    <w:rsid w:val="00855496"/>
    <w:rsid w:val="008556D5"/>
    <w:rsid w:val="0086043C"/>
    <w:rsid w:val="00860736"/>
    <w:rsid w:val="00860BB8"/>
    <w:rsid w:val="0086168D"/>
    <w:rsid w:val="00861D67"/>
    <w:rsid w:val="00863ED0"/>
    <w:rsid w:val="0086444C"/>
    <w:rsid w:val="0086570B"/>
    <w:rsid w:val="00865787"/>
    <w:rsid w:val="008660DD"/>
    <w:rsid w:val="00870EA8"/>
    <w:rsid w:val="00872458"/>
    <w:rsid w:val="00872F3D"/>
    <w:rsid w:val="00873743"/>
    <w:rsid w:val="00873886"/>
    <w:rsid w:val="00873F0D"/>
    <w:rsid w:val="00876CF0"/>
    <w:rsid w:val="0087718C"/>
    <w:rsid w:val="00877220"/>
    <w:rsid w:val="00877A88"/>
    <w:rsid w:val="00877D2F"/>
    <w:rsid w:val="008814FF"/>
    <w:rsid w:val="0088297E"/>
    <w:rsid w:val="00886634"/>
    <w:rsid w:val="00890BF2"/>
    <w:rsid w:val="00890CFB"/>
    <w:rsid w:val="00891E99"/>
    <w:rsid w:val="00892869"/>
    <w:rsid w:val="00892BF3"/>
    <w:rsid w:val="00893FEE"/>
    <w:rsid w:val="00895FD7"/>
    <w:rsid w:val="008A0287"/>
    <w:rsid w:val="008A02A9"/>
    <w:rsid w:val="008A0474"/>
    <w:rsid w:val="008A4935"/>
    <w:rsid w:val="008A705E"/>
    <w:rsid w:val="008B24BE"/>
    <w:rsid w:val="008B4653"/>
    <w:rsid w:val="008B5EC1"/>
    <w:rsid w:val="008B64F1"/>
    <w:rsid w:val="008B67E8"/>
    <w:rsid w:val="008B7BA3"/>
    <w:rsid w:val="008B7C1B"/>
    <w:rsid w:val="008B7F8C"/>
    <w:rsid w:val="008C0910"/>
    <w:rsid w:val="008C10F6"/>
    <w:rsid w:val="008C151E"/>
    <w:rsid w:val="008C2E51"/>
    <w:rsid w:val="008C408F"/>
    <w:rsid w:val="008C5875"/>
    <w:rsid w:val="008C5E87"/>
    <w:rsid w:val="008D3209"/>
    <w:rsid w:val="008D565D"/>
    <w:rsid w:val="008D5967"/>
    <w:rsid w:val="008D702C"/>
    <w:rsid w:val="008D7129"/>
    <w:rsid w:val="008D7BFE"/>
    <w:rsid w:val="008D7E2D"/>
    <w:rsid w:val="008E0DD5"/>
    <w:rsid w:val="008E410C"/>
    <w:rsid w:val="008E485A"/>
    <w:rsid w:val="008E4FFF"/>
    <w:rsid w:val="008E5056"/>
    <w:rsid w:val="008E7607"/>
    <w:rsid w:val="008F06F5"/>
    <w:rsid w:val="008F31F2"/>
    <w:rsid w:val="008F441B"/>
    <w:rsid w:val="008F5A09"/>
    <w:rsid w:val="008F5B87"/>
    <w:rsid w:val="008F7A14"/>
    <w:rsid w:val="0090040B"/>
    <w:rsid w:val="00900BEF"/>
    <w:rsid w:val="009011ED"/>
    <w:rsid w:val="00903357"/>
    <w:rsid w:val="00904F5D"/>
    <w:rsid w:val="00911744"/>
    <w:rsid w:val="009145B9"/>
    <w:rsid w:val="009159E9"/>
    <w:rsid w:val="009163C4"/>
    <w:rsid w:val="00917FF2"/>
    <w:rsid w:val="009204BE"/>
    <w:rsid w:val="00921ABD"/>
    <w:rsid w:val="00921CE8"/>
    <w:rsid w:val="009220CC"/>
    <w:rsid w:val="009220EB"/>
    <w:rsid w:val="009238EE"/>
    <w:rsid w:val="0092612E"/>
    <w:rsid w:val="009274A4"/>
    <w:rsid w:val="00932210"/>
    <w:rsid w:val="00932294"/>
    <w:rsid w:val="009334FF"/>
    <w:rsid w:val="00935531"/>
    <w:rsid w:val="0093599C"/>
    <w:rsid w:val="0093656D"/>
    <w:rsid w:val="00942E9C"/>
    <w:rsid w:val="0094373A"/>
    <w:rsid w:val="00943BA5"/>
    <w:rsid w:val="00946E15"/>
    <w:rsid w:val="009476DB"/>
    <w:rsid w:val="00950B92"/>
    <w:rsid w:val="00950C66"/>
    <w:rsid w:val="0095246B"/>
    <w:rsid w:val="009527B7"/>
    <w:rsid w:val="009531A4"/>
    <w:rsid w:val="00953299"/>
    <w:rsid w:val="00953893"/>
    <w:rsid w:val="00954061"/>
    <w:rsid w:val="009550FC"/>
    <w:rsid w:val="00955A30"/>
    <w:rsid w:val="0096156C"/>
    <w:rsid w:val="00962288"/>
    <w:rsid w:val="00962394"/>
    <w:rsid w:val="00962E6B"/>
    <w:rsid w:val="0096320D"/>
    <w:rsid w:val="009635CD"/>
    <w:rsid w:val="00964CD4"/>
    <w:rsid w:val="00970088"/>
    <w:rsid w:val="00972DDB"/>
    <w:rsid w:val="00974C81"/>
    <w:rsid w:val="00974FCA"/>
    <w:rsid w:val="0097636F"/>
    <w:rsid w:val="0097768E"/>
    <w:rsid w:val="00980214"/>
    <w:rsid w:val="00981849"/>
    <w:rsid w:val="009818B7"/>
    <w:rsid w:val="00981D2E"/>
    <w:rsid w:val="0098241A"/>
    <w:rsid w:val="00982541"/>
    <w:rsid w:val="00983699"/>
    <w:rsid w:val="00984DCA"/>
    <w:rsid w:val="00985F4D"/>
    <w:rsid w:val="0098606C"/>
    <w:rsid w:val="00986C3C"/>
    <w:rsid w:val="00987483"/>
    <w:rsid w:val="00990888"/>
    <w:rsid w:val="009918DE"/>
    <w:rsid w:val="00991B6E"/>
    <w:rsid w:val="00991D67"/>
    <w:rsid w:val="00993296"/>
    <w:rsid w:val="00994E0C"/>
    <w:rsid w:val="00995E41"/>
    <w:rsid w:val="0099748A"/>
    <w:rsid w:val="009A017E"/>
    <w:rsid w:val="009A5994"/>
    <w:rsid w:val="009A6816"/>
    <w:rsid w:val="009A687F"/>
    <w:rsid w:val="009A78E0"/>
    <w:rsid w:val="009B06E4"/>
    <w:rsid w:val="009B079F"/>
    <w:rsid w:val="009B1FB8"/>
    <w:rsid w:val="009B249B"/>
    <w:rsid w:val="009B2FBF"/>
    <w:rsid w:val="009B412F"/>
    <w:rsid w:val="009B4979"/>
    <w:rsid w:val="009B6B23"/>
    <w:rsid w:val="009B752D"/>
    <w:rsid w:val="009C0EDD"/>
    <w:rsid w:val="009C30A4"/>
    <w:rsid w:val="009C729A"/>
    <w:rsid w:val="009C78BE"/>
    <w:rsid w:val="009C7E64"/>
    <w:rsid w:val="009D00C3"/>
    <w:rsid w:val="009D3007"/>
    <w:rsid w:val="009D437C"/>
    <w:rsid w:val="009D46BC"/>
    <w:rsid w:val="009D4878"/>
    <w:rsid w:val="009D4B7C"/>
    <w:rsid w:val="009D5914"/>
    <w:rsid w:val="009D5A41"/>
    <w:rsid w:val="009E2741"/>
    <w:rsid w:val="009E288B"/>
    <w:rsid w:val="009E3141"/>
    <w:rsid w:val="009E35FB"/>
    <w:rsid w:val="009E3893"/>
    <w:rsid w:val="009E6F4B"/>
    <w:rsid w:val="009E7AB7"/>
    <w:rsid w:val="009E7AC0"/>
    <w:rsid w:val="009F064E"/>
    <w:rsid w:val="009F06B0"/>
    <w:rsid w:val="009F06E9"/>
    <w:rsid w:val="009F08F5"/>
    <w:rsid w:val="009F095D"/>
    <w:rsid w:val="009F13F7"/>
    <w:rsid w:val="009F1472"/>
    <w:rsid w:val="009F17EB"/>
    <w:rsid w:val="009F2149"/>
    <w:rsid w:val="009F304D"/>
    <w:rsid w:val="009F54BD"/>
    <w:rsid w:val="009F5887"/>
    <w:rsid w:val="009F5ED5"/>
    <w:rsid w:val="009F5F46"/>
    <w:rsid w:val="009F6442"/>
    <w:rsid w:val="009F6A2B"/>
    <w:rsid w:val="00A00F94"/>
    <w:rsid w:val="00A01586"/>
    <w:rsid w:val="00A0180A"/>
    <w:rsid w:val="00A02B98"/>
    <w:rsid w:val="00A066AA"/>
    <w:rsid w:val="00A07D3B"/>
    <w:rsid w:val="00A10CF6"/>
    <w:rsid w:val="00A11BAF"/>
    <w:rsid w:val="00A14C76"/>
    <w:rsid w:val="00A16011"/>
    <w:rsid w:val="00A1772E"/>
    <w:rsid w:val="00A229B8"/>
    <w:rsid w:val="00A229E8"/>
    <w:rsid w:val="00A239E4"/>
    <w:rsid w:val="00A257F3"/>
    <w:rsid w:val="00A25A06"/>
    <w:rsid w:val="00A25CE1"/>
    <w:rsid w:val="00A3253F"/>
    <w:rsid w:val="00A3381D"/>
    <w:rsid w:val="00A37234"/>
    <w:rsid w:val="00A37799"/>
    <w:rsid w:val="00A37C37"/>
    <w:rsid w:val="00A37F2C"/>
    <w:rsid w:val="00A40439"/>
    <w:rsid w:val="00A40ACF"/>
    <w:rsid w:val="00A42205"/>
    <w:rsid w:val="00A42C77"/>
    <w:rsid w:val="00A43026"/>
    <w:rsid w:val="00A44BAB"/>
    <w:rsid w:val="00A4744F"/>
    <w:rsid w:val="00A47F0E"/>
    <w:rsid w:val="00A524F1"/>
    <w:rsid w:val="00A55618"/>
    <w:rsid w:val="00A569E4"/>
    <w:rsid w:val="00A57225"/>
    <w:rsid w:val="00A60925"/>
    <w:rsid w:val="00A614B0"/>
    <w:rsid w:val="00A61A66"/>
    <w:rsid w:val="00A6266F"/>
    <w:rsid w:val="00A62D32"/>
    <w:rsid w:val="00A63612"/>
    <w:rsid w:val="00A64586"/>
    <w:rsid w:val="00A647B6"/>
    <w:rsid w:val="00A658E1"/>
    <w:rsid w:val="00A66D2C"/>
    <w:rsid w:val="00A70E68"/>
    <w:rsid w:val="00A729C7"/>
    <w:rsid w:val="00A730E4"/>
    <w:rsid w:val="00A73FB8"/>
    <w:rsid w:val="00A749E2"/>
    <w:rsid w:val="00A77492"/>
    <w:rsid w:val="00A77BD3"/>
    <w:rsid w:val="00A77C07"/>
    <w:rsid w:val="00A82841"/>
    <w:rsid w:val="00A836AD"/>
    <w:rsid w:val="00A837D8"/>
    <w:rsid w:val="00A8473E"/>
    <w:rsid w:val="00A84865"/>
    <w:rsid w:val="00A86809"/>
    <w:rsid w:val="00A90025"/>
    <w:rsid w:val="00A90440"/>
    <w:rsid w:val="00A92260"/>
    <w:rsid w:val="00A939D0"/>
    <w:rsid w:val="00A94922"/>
    <w:rsid w:val="00A9617C"/>
    <w:rsid w:val="00A9763B"/>
    <w:rsid w:val="00A97BDD"/>
    <w:rsid w:val="00AA20DD"/>
    <w:rsid w:val="00AA2767"/>
    <w:rsid w:val="00AA2CD0"/>
    <w:rsid w:val="00AA440D"/>
    <w:rsid w:val="00AA46DE"/>
    <w:rsid w:val="00AB10A5"/>
    <w:rsid w:val="00AB1D5B"/>
    <w:rsid w:val="00AB32E7"/>
    <w:rsid w:val="00AB3B8B"/>
    <w:rsid w:val="00AB42EF"/>
    <w:rsid w:val="00AB46A4"/>
    <w:rsid w:val="00AC0F76"/>
    <w:rsid w:val="00AC13E0"/>
    <w:rsid w:val="00AC1CB9"/>
    <w:rsid w:val="00AC56F8"/>
    <w:rsid w:val="00AC5EC2"/>
    <w:rsid w:val="00AC6EE9"/>
    <w:rsid w:val="00AC70A5"/>
    <w:rsid w:val="00AC7C50"/>
    <w:rsid w:val="00AC7E2D"/>
    <w:rsid w:val="00AD001E"/>
    <w:rsid w:val="00AD4EB2"/>
    <w:rsid w:val="00AD5367"/>
    <w:rsid w:val="00AD5976"/>
    <w:rsid w:val="00AD66B3"/>
    <w:rsid w:val="00AD6AC5"/>
    <w:rsid w:val="00AE0315"/>
    <w:rsid w:val="00AE387E"/>
    <w:rsid w:val="00AE3BE4"/>
    <w:rsid w:val="00AE521D"/>
    <w:rsid w:val="00AE678D"/>
    <w:rsid w:val="00AE78FC"/>
    <w:rsid w:val="00AF2419"/>
    <w:rsid w:val="00AF379E"/>
    <w:rsid w:val="00AF41D5"/>
    <w:rsid w:val="00AF4887"/>
    <w:rsid w:val="00AF531F"/>
    <w:rsid w:val="00B0152E"/>
    <w:rsid w:val="00B0633D"/>
    <w:rsid w:val="00B07156"/>
    <w:rsid w:val="00B117F1"/>
    <w:rsid w:val="00B13E68"/>
    <w:rsid w:val="00B15C3F"/>
    <w:rsid w:val="00B16683"/>
    <w:rsid w:val="00B16E01"/>
    <w:rsid w:val="00B1731E"/>
    <w:rsid w:val="00B20588"/>
    <w:rsid w:val="00B20E6A"/>
    <w:rsid w:val="00B21C77"/>
    <w:rsid w:val="00B22CD6"/>
    <w:rsid w:val="00B24995"/>
    <w:rsid w:val="00B25636"/>
    <w:rsid w:val="00B25B45"/>
    <w:rsid w:val="00B26A86"/>
    <w:rsid w:val="00B26FC4"/>
    <w:rsid w:val="00B27FCE"/>
    <w:rsid w:val="00B31124"/>
    <w:rsid w:val="00B317B4"/>
    <w:rsid w:val="00B32044"/>
    <w:rsid w:val="00B32404"/>
    <w:rsid w:val="00B32B3C"/>
    <w:rsid w:val="00B33815"/>
    <w:rsid w:val="00B33AA4"/>
    <w:rsid w:val="00B3403C"/>
    <w:rsid w:val="00B34EE2"/>
    <w:rsid w:val="00B35F22"/>
    <w:rsid w:val="00B35F46"/>
    <w:rsid w:val="00B400EE"/>
    <w:rsid w:val="00B4095A"/>
    <w:rsid w:val="00B40DA8"/>
    <w:rsid w:val="00B41D29"/>
    <w:rsid w:val="00B452BA"/>
    <w:rsid w:val="00B45784"/>
    <w:rsid w:val="00B46D75"/>
    <w:rsid w:val="00B47E46"/>
    <w:rsid w:val="00B5023C"/>
    <w:rsid w:val="00B5252D"/>
    <w:rsid w:val="00B53E6A"/>
    <w:rsid w:val="00B54136"/>
    <w:rsid w:val="00B561EC"/>
    <w:rsid w:val="00B56367"/>
    <w:rsid w:val="00B56B4F"/>
    <w:rsid w:val="00B57653"/>
    <w:rsid w:val="00B61840"/>
    <w:rsid w:val="00B63E71"/>
    <w:rsid w:val="00B64D9E"/>
    <w:rsid w:val="00B71897"/>
    <w:rsid w:val="00B71A43"/>
    <w:rsid w:val="00B71FE9"/>
    <w:rsid w:val="00B72641"/>
    <w:rsid w:val="00B72C56"/>
    <w:rsid w:val="00B75117"/>
    <w:rsid w:val="00B7555A"/>
    <w:rsid w:val="00B75A12"/>
    <w:rsid w:val="00B769C2"/>
    <w:rsid w:val="00B819C6"/>
    <w:rsid w:val="00B83961"/>
    <w:rsid w:val="00B83D68"/>
    <w:rsid w:val="00B844C4"/>
    <w:rsid w:val="00B84A3C"/>
    <w:rsid w:val="00B8529A"/>
    <w:rsid w:val="00B85407"/>
    <w:rsid w:val="00B85419"/>
    <w:rsid w:val="00B858BC"/>
    <w:rsid w:val="00B87840"/>
    <w:rsid w:val="00B903A3"/>
    <w:rsid w:val="00B9071B"/>
    <w:rsid w:val="00B91DF3"/>
    <w:rsid w:val="00B928CD"/>
    <w:rsid w:val="00B93210"/>
    <w:rsid w:val="00B93837"/>
    <w:rsid w:val="00B93CE4"/>
    <w:rsid w:val="00BA142C"/>
    <w:rsid w:val="00BA185F"/>
    <w:rsid w:val="00BA4DA4"/>
    <w:rsid w:val="00BA59DE"/>
    <w:rsid w:val="00BA60CA"/>
    <w:rsid w:val="00BA6817"/>
    <w:rsid w:val="00BA7340"/>
    <w:rsid w:val="00BA797E"/>
    <w:rsid w:val="00BB0300"/>
    <w:rsid w:val="00BB2493"/>
    <w:rsid w:val="00BB2ABA"/>
    <w:rsid w:val="00BB2E05"/>
    <w:rsid w:val="00BB37B5"/>
    <w:rsid w:val="00BB7FB3"/>
    <w:rsid w:val="00BC049C"/>
    <w:rsid w:val="00BC29BF"/>
    <w:rsid w:val="00BC2F77"/>
    <w:rsid w:val="00BC42A9"/>
    <w:rsid w:val="00BC6663"/>
    <w:rsid w:val="00BC69BE"/>
    <w:rsid w:val="00BC78D1"/>
    <w:rsid w:val="00BD0A58"/>
    <w:rsid w:val="00BD0FC7"/>
    <w:rsid w:val="00BD2132"/>
    <w:rsid w:val="00BD2CAC"/>
    <w:rsid w:val="00BD3046"/>
    <w:rsid w:val="00BD4BDD"/>
    <w:rsid w:val="00BD5262"/>
    <w:rsid w:val="00BD5DFB"/>
    <w:rsid w:val="00BE065F"/>
    <w:rsid w:val="00BE1228"/>
    <w:rsid w:val="00BE4048"/>
    <w:rsid w:val="00BE499E"/>
    <w:rsid w:val="00BE686D"/>
    <w:rsid w:val="00BE73B5"/>
    <w:rsid w:val="00BE7EA2"/>
    <w:rsid w:val="00BF046B"/>
    <w:rsid w:val="00BF0813"/>
    <w:rsid w:val="00BF320E"/>
    <w:rsid w:val="00BF3682"/>
    <w:rsid w:val="00BF43DC"/>
    <w:rsid w:val="00BF4D42"/>
    <w:rsid w:val="00BF5288"/>
    <w:rsid w:val="00BF7878"/>
    <w:rsid w:val="00C01141"/>
    <w:rsid w:val="00C01E81"/>
    <w:rsid w:val="00C05113"/>
    <w:rsid w:val="00C05DE1"/>
    <w:rsid w:val="00C069E1"/>
    <w:rsid w:val="00C06F61"/>
    <w:rsid w:val="00C07905"/>
    <w:rsid w:val="00C07ED7"/>
    <w:rsid w:val="00C103BA"/>
    <w:rsid w:val="00C11244"/>
    <w:rsid w:val="00C130A6"/>
    <w:rsid w:val="00C130D8"/>
    <w:rsid w:val="00C143E7"/>
    <w:rsid w:val="00C14452"/>
    <w:rsid w:val="00C15189"/>
    <w:rsid w:val="00C15BBE"/>
    <w:rsid w:val="00C175DB"/>
    <w:rsid w:val="00C20422"/>
    <w:rsid w:val="00C20923"/>
    <w:rsid w:val="00C23158"/>
    <w:rsid w:val="00C26768"/>
    <w:rsid w:val="00C26C5C"/>
    <w:rsid w:val="00C26C98"/>
    <w:rsid w:val="00C30EFF"/>
    <w:rsid w:val="00C31234"/>
    <w:rsid w:val="00C317C3"/>
    <w:rsid w:val="00C335E0"/>
    <w:rsid w:val="00C34CA7"/>
    <w:rsid w:val="00C35481"/>
    <w:rsid w:val="00C356CD"/>
    <w:rsid w:val="00C36E06"/>
    <w:rsid w:val="00C401E6"/>
    <w:rsid w:val="00C42476"/>
    <w:rsid w:val="00C4294C"/>
    <w:rsid w:val="00C44B26"/>
    <w:rsid w:val="00C47DD6"/>
    <w:rsid w:val="00C53045"/>
    <w:rsid w:val="00C53337"/>
    <w:rsid w:val="00C53508"/>
    <w:rsid w:val="00C57A28"/>
    <w:rsid w:val="00C6044D"/>
    <w:rsid w:val="00C60549"/>
    <w:rsid w:val="00C60C77"/>
    <w:rsid w:val="00C6405E"/>
    <w:rsid w:val="00C64314"/>
    <w:rsid w:val="00C65568"/>
    <w:rsid w:val="00C6570A"/>
    <w:rsid w:val="00C65DDC"/>
    <w:rsid w:val="00C67E48"/>
    <w:rsid w:val="00C71C8A"/>
    <w:rsid w:val="00C73181"/>
    <w:rsid w:val="00C7534C"/>
    <w:rsid w:val="00C75D65"/>
    <w:rsid w:val="00C76C86"/>
    <w:rsid w:val="00C814B4"/>
    <w:rsid w:val="00C815A8"/>
    <w:rsid w:val="00C8241A"/>
    <w:rsid w:val="00C82B39"/>
    <w:rsid w:val="00C863C4"/>
    <w:rsid w:val="00C868B6"/>
    <w:rsid w:val="00C86EC9"/>
    <w:rsid w:val="00C87F53"/>
    <w:rsid w:val="00C90708"/>
    <w:rsid w:val="00C908E1"/>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B0149"/>
    <w:rsid w:val="00CB1126"/>
    <w:rsid w:val="00CB13EB"/>
    <w:rsid w:val="00CB2C4C"/>
    <w:rsid w:val="00CB3CF0"/>
    <w:rsid w:val="00CB6B04"/>
    <w:rsid w:val="00CB7661"/>
    <w:rsid w:val="00CC095E"/>
    <w:rsid w:val="00CC14AE"/>
    <w:rsid w:val="00CC42D5"/>
    <w:rsid w:val="00CC4819"/>
    <w:rsid w:val="00CC5ABC"/>
    <w:rsid w:val="00CC5DD3"/>
    <w:rsid w:val="00CD0794"/>
    <w:rsid w:val="00CD0F77"/>
    <w:rsid w:val="00CD73B0"/>
    <w:rsid w:val="00CD7F5F"/>
    <w:rsid w:val="00CE04E1"/>
    <w:rsid w:val="00CE1143"/>
    <w:rsid w:val="00CE3D11"/>
    <w:rsid w:val="00CF7A93"/>
    <w:rsid w:val="00D03BC1"/>
    <w:rsid w:val="00D04D0C"/>
    <w:rsid w:val="00D05018"/>
    <w:rsid w:val="00D05710"/>
    <w:rsid w:val="00D1171A"/>
    <w:rsid w:val="00D12BA6"/>
    <w:rsid w:val="00D1356E"/>
    <w:rsid w:val="00D2022A"/>
    <w:rsid w:val="00D20328"/>
    <w:rsid w:val="00D20A48"/>
    <w:rsid w:val="00D2112D"/>
    <w:rsid w:val="00D22289"/>
    <w:rsid w:val="00D2773D"/>
    <w:rsid w:val="00D31E99"/>
    <w:rsid w:val="00D3400C"/>
    <w:rsid w:val="00D36CF0"/>
    <w:rsid w:val="00D373A2"/>
    <w:rsid w:val="00D40DA7"/>
    <w:rsid w:val="00D413F0"/>
    <w:rsid w:val="00D41BF9"/>
    <w:rsid w:val="00D4276D"/>
    <w:rsid w:val="00D444C4"/>
    <w:rsid w:val="00D44904"/>
    <w:rsid w:val="00D44A66"/>
    <w:rsid w:val="00D45E6C"/>
    <w:rsid w:val="00D46BC9"/>
    <w:rsid w:val="00D46C89"/>
    <w:rsid w:val="00D46D54"/>
    <w:rsid w:val="00D5054A"/>
    <w:rsid w:val="00D51674"/>
    <w:rsid w:val="00D527C3"/>
    <w:rsid w:val="00D52B7E"/>
    <w:rsid w:val="00D53E5A"/>
    <w:rsid w:val="00D54B55"/>
    <w:rsid w:val="00D54D9F"/>
    <w:rsid w:val="00D550CE"/>
    <w:rsid w:val="00D5540C"/>
    <w:rsid w:val="00D57C66"/>
    <w:rsid w:val="00D57F2A"/>
    <w:rsid w:val="00D57FEC"/>
    <w:rsid w:val="00D6013F"/>
    <w:rsid w:val="00D61AEC"/>
    <w:rsid w:val="00D65D65"/>
    <w:rsid w:val="00D67493"/>
    <w:rsid w:val="00D70639"/>
    <w:rsid w:val="00D70923"/>
    <w:rsid w:val="00D7284C"/>
    <w:rsid w:val="00D735F7"/>
    <w:rsid w:val="00D74AE7"/>
    <w:rsid w:val="00D75B2F"/>
    <w:rsid w:val="00D8071A"/>
    <w:rsid w:val="00D80E9C"/>
    <w:rsid w:val="00D81388"/>
    <w:rsid w:val="00D81551"/>
    <w:rsid w:val="00D8166D"/>
    <w:rsid w:val="00D850AD"/>
    <w:rsid w:val="00D91254"/>
    <w:rsid w:val="00D92219"/>
    <w:rsid w:val="00D92F04"/>
    <w:rsid w:val="00D93BA6"/>
    <w:rsid w:val="00D97897"/>
    <w:rsid w:val="00D97F3E"/>
    <w:rsid w:val="00DA142C"/>
    <w:rsid w:val="00DA3B1D"/>
    <w:rsid w:val="00DA3D9E"/>
    <w:rsid w:val="00DA4FC0"/>
    <w:rsid w:val="00DA6740"/>
    <w:rsid w:val="00DB2B2A"/>
    <w:rsid w:val="00DB2BE3"/>
    <w:rsid w:val="00DB376D"/>
    <w:rsid w:val="00DB4A41"/>
    <w:rsid w:val="00DB4B43"/>
    <w:rsid w:val="00DB4DC4"/>
    <w:rsid w:val="00DB74E3"/>
    <w:rsid w:val="00DC46BB"/>
    <w:rsid w:val="00DD0E7C"/>
    <w:rsid w:val="00DD647C"/>
    <w:rsid w:val="00DD6BB1"/>
    <w:rsid w:val="00DD7D7C"/>
    <w:rsid w:val="00DE0BC9"/>
    <w:rsid w:val="00DE1409"/>
    <w:rsid w:val="00DE49F2"/>
    <w:rsid w:val="00DE4D76"/>
    <w:rsid w:val="00DE54FE"/>
    <w:rsid w:val="00DF19FB"/>
    <w:rsid w:val="00DF2C20"/>
    <w:rsid w:val="00DF34A6"/>
    <w:rsid w:val="00DF4158"/>
    <w:rsid w:val="00DF5E70"/>
    <w:rsid w:val="00DF7C6F"/>
    <w:rsid w:val="00DF7F95"/>
    <w:rsid w:val="00E012AA"/>
    <w:rsid w:val="00E01FAF"/>
    <w:rsid w:val="00E02CB8"/>
    <w:rsid w:val="00E044C1"/>
    <w:rsid w:val="00E06141"/>
    <w:rsid w:val="00E07586"/>
    <w:rsid w:val="00E0772F"/>
    <w:rsid w:val="00E10203"/>
    <w:rsid w:val="00E13501"/>
    <w:rsid w:val="00E1376C"/>
    <w:rsid w:val="00E143D5"/>
    <w:rsid w:val="00E1541D"/>
    <w:rsid w:val="00E16237"/>
    <w:rsid w:val="00E16EDA"/>
    <w:rsid w:val="00E17A59"/>
    <w:rsid w:val="00E22B1D"/>
    <w:rsid w:val="00E22E93"/>
    <w:rsid w:val="00E25DA5"/>
    <w:rsid w:val="00E277FC"/>
    <w:rsid w:val="00E315BE"/>
    <w:rsid w:val="00E316FB"/>
    <w:rsid w:val="00E3184A"/>
    <w:rsid w:val="00E3193C"/>
    <w:rsid w:val="00E3253D"/>
    <w:rsid w:val="00E34E98"/>
    <w:rsid w:val="00E372A8"/>
    <w:rsid w:val="00E4046A"/>
    <w:rsid w:val="00E40AA8"/>
    <w:rsid w:val="00E4198F"/>
    <w:rsid w:val="00E42277"/>
    <w:rsid w:val="00E44130"/>
    <w:rsid w:val="00E44AB8"/>
    <w:rsid w:val="00E457AA"/>
    <w:rsid w:val="00E47CB6"/>
    <w:rsid w:val="00E517D3"/>
    <w:rsid w:val="00E5234A"/>
    <w:rsid w:val="00E52F92"/>
    <w:rsid w:val="00E540A5"/>
    <w:rsid w:val="00E543EC"/>
    <w:rsid w:val="00E5586E"/>
    <w:rsid w:val="00E55D9A"/>
    <w:rsid w:val="00E56EDA"/>
    <w:rsid w:val="00E60123"/>
    <w:rsid w:val="00E62523"/>
    <w:rsid w:val="00E63538"/>
    <w:rsid w:val="00E65FC7"/>
    <w:rsid w:val="00E70A0F"/>
    <w:rsid w:val="00E70CB0"/>
    <w:rsid w:val="00E7126D"/>
    <w:rsid w:val="00E80944"/>
    <w:rsid w:val="00E82482"/>
    <w:rsid w:val="00E8340E"/>
    <w:rsid w:val="00E9041F"/>
    <w:rsid w:val="00E90AB0"/>
    <w:rsid w:val="00E90DE9"/>
    <w:rsid w:val="00E91547"/>
    <w:rsid w:val="00E934F2"/>
    <w:rsid w:val="00E95CF2"/>
    <w:rsid w:val="00E9713E"/>
    <w:rsid w:val="00EA0030"/>
    <w:rsid w:val="00EA0304"/>
    <w:rsid w:val="00EA0CF6"/>
    <w:rsid w:val="00EA1E28"/>
    <w:rsid w:val="00EA3577"/>
    <w:rsid w:val="00EA498A"/>
    <w:rsid w:val="00EA4C98"/>
    <w:rsid w:val="00EA5357"/>
    <w:rsid w:val="00EA6E1D"/>
    <w:rsid w:val="00EB11FC"/>
    <w:rsid w:val="00EB1C16"/>
    <w:rsid w:val="00EB2108"/>
    <w:rsid w:val="00EB2580"/>
    <w:rsid w:val="00EB262F"/>
    <w:rsid w:val="00EB2B39"/>
    <w:rsid w:val="00EB5368"/>
    <w:rsid w:val="00EB7D90"/>
    <w:rsid w:val="00EC130C"/>
    <w:rsid w:val="00EC1F09"/>
    <w:rsid w:val="00EC3931"/>
    <w:rsid w:val="00EC63CD"/>
    <w:rsid w:val="00EC6580"/>
    <w:rsid w:val="00EC6DFB"/>
    <w:rsid w:val="00ED0D2A"/>
    <w:rsid w:val="00ED324C"/>
    <w:rsid w:val="00ED34A7"/>
    <w:rsid w:val="00ED3872"/>
    <w:rsid w:val="00ED4E57"/>
    <w:rsid w:val="00ED5C34"/>
    <w:rsid w:val="00ED7155"/>
    <w:rsid w:val="00ED7AA3"/>
    <w:rsid w:val="00EE0C23"/>
    <w:rsid w:val="00EE1F6C"/>
    <w:rsid w:val="00EE6602"/>
    <w:rsid w:val="00EF00FB"/>
    <w:rsid w:val="00EF29D2"/>
    <w:rsid w:val="00EF3191"/>
    <w:rsid w:val="00EF666D"/>
    <w:rsid w:val="00EF7828"/>
    <w:rsid w:val="00EF7D8A"/>
    <w:rsid w:val="00F0217A"/>
    <w:rsid w:val="00F02ED8"/>
    <w:rsid w:val="00F03A0B"/>
    <w:rsid w:val="00F06E1B"/>
    <w:rsid w:val="00F10437"/>
    <w:rsid w:val="00F10AEF"/>
    <w:rsid w:val="00F10E13"/>
    <w:rsid w:val="00F1219C"/>
    <w:rsid w:val="00F12697"/>
    <w:rsid w:val="00F127D6"/>
    <w:rsid w:val="00F131BB"/>
    <w:rsid w:val="00F13F24"/>
    <w:rsid w:val="00F1416C"/>
    <w:rsid w:val="00F1640D"/>
    <w:rsid w:val="00F16C72"/>
    <w:rsid w:val="00F20F72"/>
    <w:rsid w:val="00F22331"/>
    <w:rsid w:val="00F229AE"/>
    <w:rsid w:val="00F247E1"/>
    <w:rsid w:val="00F24C83"/>
    <w:rsid w:val="00F25ED7"/>
    <w:rsid w:val="00F26954"/>
    <w:rsid w:val="00F322A2"/>
    <w:rsid w:val="00F32E80"/>
    <w:rsid w:val="00F33834"/>
    <w:rsid w:val="00F34E25"/>
    <w:rsid w:val="00F35C34"/>
    <w:rsid w:val="00F35CE7"/>
    <w:rsid w:val="00F36BF1"/>
    <w:rsid w:val="00F36D9D"/>
    <w:rsid w:val="00F37447"/>
    <w:rsid w:val="00F37691"/>
    <w:rsid w:val="00F37961"/>
    <w:rsid w:val="00F405D7"/>
    <w:rsid w:val="00F4061F"/>
    <w:rsid w:val="00F40C85"/>
    <w:rsid w:val="00F4196A"/>
    <w:rsid w:val="00F42189"/>
    <w:rsid w:val="00F42347"/>
    <w:rsid w:val="00F439C4"/>
    <w:rsid w:val="00F447D3"/>
    <w:rsid w:val="00F44D89"/>
    <w:rsid w:val="00F472C3"/>
    <w:rsid w:val="00F47E96"/>
    <w:rsid w:val="00F5077F"/>
    <w:rsid w:val="00F52E6E"/>
    <w:rsid w:val="00F53FCC"/>
    <w:rsid w:val="00F54BDF"/>
    <w:rsid w:val="00F56F33"/>
    <w:rsid w:val="00F61936"/>
    <w:rsid w:val="00F61C9B"/>
    <w:rsid w:val="00F627B0"/>
    <w:rsid w:val="00F63A4A"/>
    <w:rsid w:val="00F7031F"/>
    <w:rsid w:val="00F71B63"/>
    <w:rsid w:val="00F71FA9"/>
    <w:rsid w:val="00F735C9"/>
    <w:rsid w:val="00F749D9"/>
    <w:rsid w:val="00F75055"/>
    <w:rsid w:val="00F77683"/>
    <w:rsid w:val="00F7772B"/>
    <w:rsid w:val="00F778E8"/>
    <w:rsid w:val="00F80AE8"/>
    <w:rsid w:val="00F8523E"/>
    <w:rsid w:val="00F905A8"/>
    <w:rsid w:val="00F91C82"/>
    <w:rsid w:val="00F92150"/>
    <w:rsid w:val="00F93A4C"/>
    <w:rsid w:val="00FA1C91"/>
    <w:rsid w:val="00FA38CB"/>
    <w:rsid w:val="00FA48FF"/>
    <w:rsid w:val="00FC17FE"/>
    <w:rsid w:val="00FC23D3"/>
    <w:rsid w:val="00FC367C"/>
    <w:rsid w:val="00FC4C03"/>
    <w:rsid w:val="00FC695E"/>
    <w:rsid w:val="00FC6F25"/>
    <w:rsid w:val="00FC6FB2"/>
    <w:rsid w:val="00FD2A4F"/>
    <w:rsid w:val="00FD39E1"/>
    <w:rsid w:val="00FD44C0"/>
    <w:rsid w:val="00FD45BF"/>
    <w:rsid w:val="00FD6AB1"/>
    <w:rsid w:val="00FD7769"/>
    <w:rsid w:val="00FE0E52"/>
    <w:rsid w:val="00FE3DCD"/>
    <w:rsid w:val="00FE4B17"/>
    <w:rsid w:val="00FE54EB"/>
    <w:rsid w:val="00FE6324"/>
    <w:rsid w:val="00FE7EFA"/>
    <w:rsid w:val="00FF0051"/>
    <w:rsid w:val="00FF1EAC"/>
    <w:rsid w:val="00FF24E3"/>
    <w:rsid w:val="00FF3559"/>
    <w:rsid w:val="00FF4A88"/>
    <w:rsid w:val="00FF5CAF"/>
    <w:rsid w:val="00FF676D"/>
    <w:rsid w:val="038452E6"/>
    <w:rsid w:val="20713F85"/>
    <w:rsid w:val="299C482D"/>
    <w:rsid w:val="3A4823FD"/>
    <w:rsid w:val="5E15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51B76-FFE2-4CB1-914A-C14878F8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935</Words>
  <Characters>1198</Characters>
  <Application>Microsoft Office Word</Application>
  <DocSecurity>0</DocSecurity>
  <Lines>133</Lines>
  <Paragraphs>125</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吴宁</dc:creator>
  <cp:lastModifiedBy>五洲交通证券部-李铭森</cp:lastModifiedBy>
  <cp:revision>11</cp:revision>
  <cp:lastPrinted>2024-06-21T08:30:00Z</cp:lastPrinted>
  <dcterms:created xsi:type="dcterms:W3CDTF">2024-06-21T08:04:00Z</dcterms:created>
  <dcterms:modified xsi:type="dcterms:W3CDTF">2025-11-04T10:40:00Z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82F1CB23098146DC9BCB0F2190084A34_12</vt:lpwstr>
  </property>
</Properties>
</file>