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D77C" w14:textId="77777777" w:rsidR="00BB411D" w:rsidRDefault="00000000">
      <w:pPr>
        <w:pStyle w:val="1"/>
        <w:rPr>
          <w:rFonts w:ascii="宋体" w:eastAsia="宋体" w:hAnsi="宋体" w:cs="宋体" w:hint="eastAsia"/>
          <w:sz w:val="24"/>
          <w:szCs w:val="24"/>
          <w:lang w:val="en-US"/>
        </w:rPr>
      </w:pPr>
      <w:r>
        <w:rPr>
          <w:rFonts w:ascii="宋体" w:eastAsia="宋体" w:hAnsi="宋体" w:cs="宋体" w:hint="eastAsia"/>
          <w:sz w:val="24"/>
          <w:szCs w:val="24"/>
          <w:lang w:val="en-US"/>
        </w:rPr>
        <w:t>证券代码：600153                                  证券简称：建发股份</w:t>
      </w:r>
    </w:p>
    <w:p w14:paraId="1D81481B" w14:textId="77777777" w:rsidR="00BB411D" w:rsidRDefault="00BB411D">
      <w:pPr>
        <w:spacing w:line="360" w:lineRule="auto"/>
        <w:jc w:val="center"/>
        <w:rPr>
          <w:rFonts w:ascii="宋体" w:eastAsia="宋体" w:hAnsi="宋体" w:cs="宋体" w:hint="eastAsia"/>
          <w:b/>
          <w:bCs/>
          <w:sz w:val="24"/>
          <w:szCs w:val="24"/>
        </w:rPr>
      </w:pPr>
    </w:p>
    <w:p w14:paraId="3429A03F" w14:textId="77777777" w:rsidR="00BB411D" w:rsidRDefault="00000000">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厦门建发股份有限公司</w:t>
      </w:r>
    </w:p>
    <w:p w14:paraId="5691C55C" w14:textId="77777777" w:rsidR="00BB411D" w:rsidRDefault="00000000">
      <w:pPr>
        <w:spacing w:line="360" w:lineRule="auto"/>
        <w:jc w:val="center"/>
        <w:rPr>
          <w:rFonts w:ascii="宋体" w:eastAsia="宋体" w:hAnsi="宋体" w:cs="宋体" w:hint="eastAsia"/>
          <w:sz w:val="24"/>
          <w:szCs w:val="24"/>
          <w:lang w:val="en-US"/>
        </w:rPr>
      </w:pPr>
      <w:r>
        <w:rPr>
          <w:rFonts w:ascii="宋体" w:eastAsia="宋体" w:hAnsi="宋体" w:cs="宋体" w:hint="eastAsia"/>
          <w:b/>
          <w:bCs/>
          <w:sz w:val="32"/>
          <w:szCs w:val="32"/>
        </w:rPr>
        <w:t>投资者关系活动记录表</w:t>
      </w:r>
    </w:p>
    <w:tbl>
      <w:tblPr>
        <w:tblW w:w="8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61"/>
        <w:gridCol w:w="6320"/>
      </w:tblGrid>
      <w:tr w:rsidR="00BB411D" w14:paraId="04E9C6C6" w14:textId="77777777">
        <w:trPr>
          <w:trHeight w:val="1744"/>
          <w:jc w:val="center"/>
        </w:trPr>
        <w:tc>
          <w:tcPr>
            <w:tcW w:w="1961" w:type="dxa"/>
          </w:tcPr>
          <w:p w14:paraId="52B7B64A" w14:textId="77777777" w:rsidR="00BB411D" w:rsidRDefault="00BB411D">
            <w:pPr>
              <w:pStyle w:val="TableParagraph"/>
              <w:spacing w:before="7"/>
              <w:rPr>
                <w:rFonts w:ascii="宋体" w:eastAsia="宋体" w:hAnsi="宋体" w:cs="宋体" w:hint="eastAsia"/>
                <w:b/>
                <w:bCs/>
                <w:sz w:val="24"/>
                <w:szCs w:val="24"/>
              </w:rPr>
            </w:pPr>
          </w:p>
          <w:p w14:paraId="60EEF3A0" w14:textId="77777777" w:rsidR="00BB411D"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投资者关系活动类别</w:t>
            </w:r>
          </w:p>
        </w:tc>
        <w:tc>
          <w:tcPr>
            <w:tcW w:w="6320" w:type="dxa"/>
          </w:tcPr>
          <w:p w14:paraId="770851F5" w14:textId="77777777" w:rsidR="00BB411D"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1"/>
                  <w14:checkedState w14:val="0052" w14:font="Wingdings 2"/>
                  <w14:uncheckedState w14:val="2610" w14:font="MS Gothic"/>
                </w14:checkbox>
              </w:sdtPr>
              <w:sdtContent>
                <w:r>
                  <w:rPr>
                    <w:rFonts w:ascii="Wingdings 2" w:eastAsia="宋体" w:hAnsi="Wingdings 2" w:cs="Segoe UI Symbol"/>
                    <w:sz w:val="24"/>
                    <w:szCs w:val="24"/>
                  </w:rPr>
                  <w:t>R</w:t>
                </w:r>
              </w:sdtContent>
            </w:sdt>
            <w:r>
              <w:rPr>
                <w:rFonts w:ascii="宋体" w:eastAsia="宋体" w:hAnsi="宋体" w:cs="宋体" w:hint="eastAsia"/>
                <w:sz w:val="24"/>
                <w:szCs w:val="24"/>
              </w:rPr>
              <w:t>特</w:t>
            </w:r>
            <w:r>
              <w:rPr>
                <w:rFonts w:ascii="宋体" w:eastAsia="宋体" w:hAnsi="宋体" w:cs="宋体" w:hint="eastAsia"/>
                <w:spacing w:val="-3"/>
                <w:sz w:val="24"/>
                <w:szCs w:val="24"/>
              </w:rPr>
              <w:t>定</w:t>
            </w:r>
            <w:r>
              <w:rPr>
                <w:rFonts w:ascii="宋体" w:eastAsia="宋体" w:hAnsi="宋体" w:cs="宋体" w:hint="eastAsia"/>
                <w:sz w:val="24"/>
                <w:szCs w:val="24"/>
              </w:rPr>
              <w:t>对</w:t>
            </w:r>
            <w:r>
              <w:rPr>
                <w:rFonts w:ascii="宋体" w:eastAsia="宋体" w:hAnsi="宋体" w:cs="宋体" w:hint="eastAsia"/>
                <w:spacing w:val="-3"/>
                <w:sz w:val="24"/>
                <w:szCs w:val="24"/>
              </w:rPr>
              <w:t>象</w:t>
            </w:r>
            <w:r>
              <w:rPr>
                <w:rFonts w:ascii="宋体" w:eastAsia="宋体" w:hAnsi="宋体" w:cs="宋体" w:hint="eastAsia"/>
                <w:sz w:val="24"/>
                <w:szCs w:val="24"/>
              </w:rPr>
              <w:t>调研</w:t>
            </w:r>
            <w:r>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Pr>
                    <w:rFonts w:ascii="MS Gothic" w:eastAsia="宋体" w:hAnsi="MS Gothic" w:cs="Segoe UI Symbol"/>
                    <w:sz w:val="24"/>
                    <w:szCs w:val="24"/>
                  </w:rPr>
                  <w:t>☐</w:t>
                </w:r>
              </w:sdtContent>
            </w:sdt>
            <w:r>
              <w:rPr>
                <w:rFonts w:ascii="宋体" w:eastAsia="宋体" w:hAnsi="宋体" w:cs="宋体" w:hint="eastAsia"/>
                <w:sz w:val="24"/>
                <w:szCs w:val="24"/>
              </w:rPr>
              <w:t>分</w:t>
            </w:r>
            <w:r>
              <w:rPr>
                <w:rFonts w:ascii="宋体" w:eastAsia="宋体" w:hAnsi="宋体" w:cs="宋体" w:hint="eastAsia"/>
                <w:spacing w:val="-3"/>
                <w:sz w:val="24"/>
                <w:szCs w:val="24"/>
              </w:rPr>
              <w:t>析</w:t>
            </w:r>
            <w:r>
              <w:rPr>
                <w:rFonts w:ascii="宋体" w:eastAsia="宋体" w:hAnsi="宋体" w:cs="宋体" w:hint="eastAsia"/>
                <w:sz w:val="24"/>
                <w:szCs w:val="24"/>
              </w:rPr>
              <w:t>师</w:t>
            </w:r>
            <w:r>
              <w:rPr>
                <w:rFonts w:ascii="宋体" w:eastAsia="宋体" w:hAnsi="宋体" w:cs="宋体" w:hint="eastAsia"/>
                <w:spacing w:val="-3"/>
                <w:sz w:val="24"/>
                <w:szCs w:val="24"/>
              </w:rPr>
              <w:t>会</w:t>
            </w:r>
            <w:r>
              <w:rPr>
                <w:rFonts w:ascii="宋体" w:eastAsia="宋体" w:hAnsi="宋体" w:cs="宋体" w:hint="eastAsia"/>
                <w:sz w:val="24"/>
                <w:szCs w:val="24"/>
              </w:rPr>
              <w:t>议</w:t>
            </w:r>
          </w:p>
          <w:p w14:paraId="1721F1F4" w14:textId="77777777" w:rsidR="00BB411D"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媒</w:t>
            </w:r>
            <w:r>
              <w:rPr>
                <w:rFonts w:ascii="宋体" w:eastAsia="宋体" w:hAnsi="宋体" w:cs="宋体" w:hint="eastAsia"/>
                <w:spacing w:val="-3"/>
                <w:sz w:val="24"/>
                <w:szCs w:val="24"/>
              </w:rPr>
              <w:t>体</w:t>
            </w:r>
            <w:r>
              <w:rPr>
                <w:rFonts w:ascii="宋体" w:eastAsia="宋体" w:hAnsi="宋体" w:cs="宋体" w:hint="eastAsia"/>
                <w:sz w:val="24"/>
                <w:szCs w:val="24"/>
              </w:rPr>
              <w:t>采访</w:t>
            </w:r>
            <w:r>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0"/>
                  <w14:checkedState w14:val="0052" w14:font="Wingdings 2"/>
                  <w14:uncheckedState w14:val="2610" w14:font="MS Gothic"/>
                </w14:checkbox>
              </w:sdtPr>
              <w:sdtContent>
                <w:r>
                  <w:rPr>
                    <w:rFonts w:ascii="MS Gothic" w:eastAsia="宋体" w:hAnsi="MS Gothic" w:cs="宋体" w:hint="eastAsia"/>
                    <w:sz w:val="24"/>
                    <w:szCs w:val="24"/>
                  </w:rPr>
                  <w:t>☐</w:t>
                </w:r>
              </w:sdtContent>
            </w:sdt>
            <w:r>
              <w:rPr>
                <w:rFonts w:ascii="宋体" w:eastAsia="宋体" w:hAnsi="宋体" w:cs="宋体" w:hint="eastAsia"/>
                <w:sz w:val="24"/>
                <w:szCs w:val="24"/>
              </w:rPr>
              <w:t>业</w:t>
            </w:r>
            <w:r>
              <w:rPr>
                <w:rFonts w:ascii="宋体" w:eastAsia="宋体" w:hAnsi="宋体" w:cs="宋体" w:hint="eastAsia"/>
                <w:spacing w:val="-3"/>
                <w:sz w:val="24"/>
                <w:szCs w:val="24"/>
              </w:rPr>
              <w:t>绩</w:t>
            </w:r>
            <w:r>
              <w:rPr>
                <w:rFonts w:ascii="宋体" w:eastAsia="宋体" w:hAnsi="宋体" w:cs="宋体" w:hint="eastAsia"/>
                <w:sz w:val="24"/>
                <w:szCs w:val="24"/>
              </w:rPr>
              <w:t>说</w:t>
            </w:r>
            <w:r>
              <w:rPr>
                <w:rFonts w:ascii="宋体" w:eastAsia="宋体" w:hAnsi="宋体" w:cs="宋体" w:hint="eastAsia"/>
                <w:spacing w:val="-3"/>
                <w:sz w:val="24"/>
                <w:szCs w:val="24"/>
              </w:rPr>
              <w:t>明</w:t>
            </w:r>
            <w:r>
              <w:rPr>
                <w:rFonts w:ascii="宋体" w:eastAsia="宋体" w:hAnsi="宋体" w:cs="宋体" w:hint="eastAsia"/>
                <w:sz w:val="24"/>
                <w:szCs w:val="24"/>
              </w:rPr>
              <w:t>会</w:t>
            </w:r>
          </w:p>
          <w:p w14:paraId="548591C3" w14:textId="77777777" w:rsidR="00BB411D" w:rsidRDefault="00000000">
            <w:pPr>
              <w:pStyle w:val="TableParagraph"/>
              <w:tabs>
                <w:tab w:val="left" w:pos="2418"/>
              </w:tabs>
              <w:ind w:left="107"/>
              <w:rPr>
                <w:rFonts w:ascii="宋体" w:eastAsia="宋体" w:hAnsi="宋体" w:cs="宋体" w:hint="eastAsia"/>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新</w:t>
            </w:r>
            <w:r>
              <w:rPr>
                <w:rFonts w:ascii="宋体" w:eastAsia="宋体" w:hAnsi="宋体" w:cs="宋体" w:hint="eastAsia"/>
                <w:spacing w:val="-3"/>
                <w:sz w:val="24"/>
                <w:szCs w:val="24"/>
              </w:rPr>
              <w:t>闻</w:t>
            </w:r>
            <w:r>
              <w:rPr>
                <w:rFonts w:ascii="宋体" w:eastAsia="宋体" w:hAnsi="宋体" w:cs="宋体" w:hint="eastAsia"/>
                <w:sz w:val="24"/>
                <w:szCs w:val="24"/>
              </w:rPr>
              <w:t>发</w:t>
            </w:r>
            <w:r>
              <w:rPr>
                <w:rFonts w:ascii="宋体" w:eastAsia="宋体" w:hAnsi="宋体" w:cs="宋体" w:hint="eastAsia"/>
                <w:spacing w:val="-3"/>
                <w:sz w:val="24"/>
                <w:szCs w:val="24"/>
              </w:rPr>
              <w:t>布</w:t>
            </w:r>
            <w:r>
              <w:rPr>
                <w:rFonts w:ascii="宋体" w:eastAsia="宋体" w:hAnsi="宋体" w:cs="宋体" w:hint="eastAsia"/>
                <w:sz w:val="24"/>
                <w:szCs w:val="24"/>
              </w:rPr>
              <w:t>会</w:t>
            </w:r>
            <w:r>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1"/>
                  <w14:checkedState w14:val="0052" w14:font="Wingdings 2"/>
                  <w14:uncheckedState w14:val="2610" w14:font="MS Gothic"/>
                </w14:checkbox>
              </w:sdtPr>
              <w:sdtContent>
                <w:r>
                  <w:rPr>
                    <w:rFonts w:ascii="Wingdings 2" w:eastAsia="宋体" w:hAnsi="Wingdings 2" w:cs="Segoe UI Symbol"/>
                    <w:sz w:val="24"/>
                    <w:szCs w:val="24"/>
                  </w:rPr>
                  <w:t>R</w:t>
                </w:r>
              </w:sdtContent>
            </w:sdt>
            <w:r>
              <w:rPr>
                <w:rFonts w:ascii="宋体" w:eastAsia="宋体" w:hAnsi="宋体" w:cs="宋体" w:hint="eastAsia"/>
                <w:sz w:val="24"/>
                <w:szCs w:val="24"/>
              </w:rPr>
              <w:t>路</w:t>
            </w:r>
            <w:r>
              <w:rPr>
                <w:rFonts w:ascii="宋体" w:eastAsia="宋体" w:hAnsi="宋体" w:cs="宋体" w:hint="eastAsia"/>
                <w:spacing w:val="-3"/>
                <w:sz w:val="24"/>
                <w:szCs w:val="24"/>
              </w:rPr>
              <w:t>演</w:t>
            </w:r>
            <w:r>
              <w:rPr>
                <w:rFonts w:ascii="宋体" w:eastAsia="宋体" w:hAnsi="宋体" w:cs="宋体" w:hint="eastAsia"/>
                <w:sz w:val="24"/>
                <w:szCs w:val="24"/>
              </w:rPr>
              <w:t>活动</w:t>
            </w:r>
          </w:p>
          <w:p w14:paraId="1F0357FD" w14:textId="77777777" w:rsidR="00BB411D"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1333366911"/>
                <w14:checkbox>
                  <w14:checked w14:val="0"/>
                  <w14:checkedState w14:val="0052" w14:font="Wingdings 2"/>
                  <w14:uncheckedState w14:val="2610" w14:font="MS Gothic"/>
                </w14:checkbox>
              </w:sdtPr>
              <w:sdtContent>
                <w:r>
                  <w:rPr>
                    <w:rFonts w:ascii="MS Gothic" w:eastAsia="MS Gothic" w:hAnsi="MS Gothic" w:cs="宋体" w:hint="eastAsia"/>
                    <w:sz w:val="24"/>
                    <w:szCs w:val="24"/>
                  </w:rPr>
                  <w:t>☐</w:t>
                </w:r>
              </w:sdtContent>
            </w:sdt>
            <w:r>
              <w:rPr>
                <w:rFonts w:ascii="宋体" w:eastAsia="宋体" w:hAnsi="宋体" w:cs="宋体" w:hint="eastAsia"/>
                <w:sz w:val="24"/>
                <w:szCs w:val="24"/>
              </w:rPr>
              <w:t>现场参观</w:t>
            </w:r>
          </w:p>
          <w:p w14:paraId="3130DB18" w14:textId="77777777" w:rsidR="00BB411D" w:rsidRDefault="00000000">
            <w:pPr>
              <w:pStyle w:val="TableParagraph"/>
              <w:ind w:left="107"/>
              <w:rPr>
                <w:rFonts w:ascii="宋体" w:eastAsia="宋体" w:hAnsi="宋体" w:cs="宋体" w:hint="eastAsia"/>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Content>
                <w:r>
                  <w:rPr>
                    <w:rFonts w:ascii="Segoe UI Symbol" w:eastAsia="宋体" w:hAnsi="Segoe UI Symbol" w:cs="Segoe UI Symbol"/>
                    <w:sz w:val="24"/>
                    <w:szCs w:val="24"/>
                  </w:rPr>
                  <w:t>☐</w:t>
                </w:r>
              </w:sdtContent>
            </w:sdt>
            <w:r>
              <w:rPr>
                <w:rFonts w:ascii="宋体" w:eastAsia="宋体" w:hAnsi="宋体" w:cs="宋体" w:hint="eastAsia"/>
                <w:sz w:val="24"/>
                <w:szCs w:val="24"/>
              </w:rPr>
              <w:t>其他（</w:t>
            </w:r>
            <w:r>
              <w:rPr>
                <w:rFonts w:ascii="宋体" w:eastAsia="宋体" w:hAnsi="宋体" w:cs="宋体" w:hint="eastAsia"/>
                <w:sz w:val="24"/>
                <w:szCs w:val="24"/>
                <w:u w:val="single"/>
              </w:rPr>
              <w:t>请文字说明其他活动内容）</w:t>
            </w:r>
          </w:p>
        </w:tc>
      </w:tr>
      <w:tr w:rsidR="00BB411D" w14:paraId="47B61A15" w14:textId="77777777">
        <w:trPr>
          <w:trHeight w:val="528"/>
          <w:jc w:val="center"/>
        </w:trPr>
        <w:tc>
          <w:tcPr>
            <w:tcW w:w="1961" w:type="dxa"/>
            <w:vAlign w:val="center"/>
          </w:tcPr>
          <w:p w14:paraId="3E0559E1" w14:textId="77777777" w:rsidR="00BB411D" w:rsidRDefault="00000000">
            <w:pPr>
              <w:pStyle w:val="TableParagraph"/>
              <w:spacing w:line="360" w:lineRule="auto"/>
              <w:ind w:left="108" w:right="96"/>
              <w:rPr>
                <w:rFonts w:ascii="宋体" w:eastAsia="宋体" w:hAnsi="宋体" w:cs="宋体" w:hint="eastAsia"/>
                <w:b/>
                <w:bCs/>
                <w:sz w:val="24"/>
                <w:szCs w:val="24"/>
              </w:rPr>
            </w:pPr>
            <w:r>
              <w:rPr>
                <w:rFonts w:ascii="宋体" w:eastAsia="宋体" w:hAnsi="宋体" w:cs="宋体" w:hint="eastAsia"/>
                <w:b/>
                <w:bCs/>
                <w:sz w:val="24"/>
                <w:szCs w:val="24"/>
              </w:rPr>
              <w:t>机构名称</w:t>
            </w:r>
          </w:p>
        </w:tc>
        <w:tc>
          <w:tcPr>
            <w:tcW w:w="6320" w:type="dxa"/>
            <w:vAlign w:val="center"/>
          </w:tcPr>
          <w:p w14:paraId="2D592F3E" w14:textId="77777777" w:rsidR="00BB411D" w:rsidRDefault="00000000">
            <w:pPr>
              <w:pStyle w:val="TableParagraph"/>
              <w:spacing w:line="360" w:lineRule="auto"/>
              <w:jc w:val="both"/>
              <w:rPr>
                <w:rFonts w:ascii="宋体" w:eastAsia="宋体" w:hAnsi="宋体" w:cs="宋体" w:hint="eastAsia"/>
                <w:sz w:val="24"/>
                <w:szCs w:val="24"/>
              </w:rPr>
            </w:pPr>
            <w:r>
              <w:rPr>
                <w:rFonts w:ascii="宋体" w:eastAsia="宋体" w:hAnsi="宋体" w:cs="宋体"/>
                <w:sz w:val="24"/>
                <w:szCs w:val="24"/>
              </w:rPr>
              <w:t>详见附表。</w:t>
            </w:r>
          </w:p>
        </w:tc>
      </w:tr>
      <w:tr w:rsidR="00BB411D" w14:paraId="531F85BF" w14:textId="77777777">
        <w:trPr>
          <w:trHeight w:val="272"/>
          <w:jc w:val="center"/>
        </w:trPr>
        <w:tc>
          <w:tcPr>
            <w:tcW w:w="1961" w:type="dxa"/>
            <w:vAlign w:val="center"/>
          </w:tcPr>
          <w:p w14:paraId="2DD165B3" w14:textId="77777777" w:rsidR="00BB411D" w:rsidRDefault="00000000">
            <w:pPr>
              <w:pStyle w:val="TableParagraph"/>
              <w:spacing w:line="360" w:lineRule="auto"/>
              <w:ind w:left="107"/>
              <w:jc w:val="both"/>
              <w:rPr>
                <w:rFonts w:ascii="宋体" w:eastAsia="宋体" w:hAnsi="宋体" w:cs="宋体" w:hint="eastAsia"/>
                <w:b/>
                <w:bCs/>
                <w:sz w:val="24"/>
                <w:szCs w:val="24"/>
              </w:rPr>
            </w:pPr>
            <w:r>
              <w:rPr>
                <w:rFonts w:ascii="宋体" w:eastAsia="宋体" w:hAnsi="宋体" w:cs="宋体" w:hint="eastAsia"/>
                <w:b/>
                <w:bCs/>
                <w:sz w:val="24"/>
                <w:szCs w:val="24"/>
              </w:rPr>
              <w:t>时间</w:t>
            </w:r>
          </w:p>
        </w:tc>
        <w:tc>
          <w:tcPr>
            <w:tcW w:w="6320" w:type="dxa"/>
            <w:vAlign w:val="center"/>
          </w:tcPr>
          <w:p w14:paraId="26A2CCD3" w14:textId="77777777" w:rsidR="00BB411D" w:rsidRDefault="00000000">
            <w:pPr>
              <w:pStyle w:val="TableParagraph"/>
              <w:spacing w:line="360" w:lineRule="auto"/>
              <w:jc w:val="both"/>
              <w:rPr>
                <w:rFonts w:ascii="宋体" w:eastAsia="宋体" w:hAnsi="宋体" w:cs="宋体" w:hint="eastAsia"/>
                <w:sz w:val="24"/>
                <w:szCs w:val="24"/>
                <w:lang w:val="en-US"/>
              </w:rPr>
            </w:pPr>
            <w:r>
              <w:rPr>
                <w:rFonts w:ascii="宋体" w:eastAsia="宋体" w:hAnsi="宋体" w:cs="宋体"/>
                <w:sz w:val="24"/>
                <w:szCs w:val="24"/>
              </w:rPr>
              <w:t>2025年</w:t>
            </w:r>
            <w:r>
              <w:rPr>
                <w:rFonts w:ascii="宋体" w:eastAsia="宋体" w:hAnsi="宋体" w:cs="宋体" w:hint="eastAsia"/>
                <w:sz w:val="24"/>
                <w:szCs w:val="24"/>
                <w:lang w:val="en-US"/>
              </w:rPr>
              <w:t>10</w:t>
            </w:r>
            <w:r>
              <w:rPr>
                <w:rFonts w:ascii="宋体" w:eastAsia="宋体" w:hAnsi="宋体" w:cs="宋体"/>
                <w:sz w:val="24"/>
                <w:szCs w:val="24"/>
              </w:rPr>
              <w:t>月1日</w:t>
            </w:r>
            <w:r>
              <w:rPr>
                <w:rFonts w:ascii="宋体" w:eastAsia="宋体" w:hAnsi="宋体" w:cs="宋体" w:hint="eastAsia"/>
                <w:sz w:val="24"/>
                <w:szCs w:val="24"/>
                <w:lang w:val="en-US"/>
              </w:rPr>
              <w:t>至2025年10月31日</w:t>
            </w:r>
          </w:p>
        </w:tc>
      </w:tr>
      <w:tr w:rsidR="00BB411D" w14:paraId="4D9D170B" w14:textId="77777777">
        <w:trPr>
          <w:trHeight w:val="340"/>
          <w:jc w:val="center"/>
        </w:trPr>
        <w:tc>
          <w:tcPr>
            <w:tcW w:w="1961" w:type="dxa"/>
            <w:vAlign w:val="center"/>
          </w:tcPr>
          <w:p w14:paraId="3D952AD1" w14:textId="77777777" w:rsidR="00BB411D" w:rsidRDefault="00000000">
            <w:pPr>
              <w:pStyle w:val="TableParagraph"/>
              <w:spacing w:line="360" w:lineRule="auto"/>
              <w:ind w:left="107"/>
              <w:jc w:val="both"/>
              <w:rPr>
                <w:rFonts w:ascii="宋体" w:eastAsia="宋体" w:hAnsi="宋体" w:cs="宋体" w:hint="eastAsia"/>
                <w:b/>
                <w:bCs/>
                <w:sz w:val="24"/>
                <w:szCs w:val="24"/>
              </w:rPr>
            </w:pPr>
            <w:r>
              <w:rPr>
                <w:rFonts w:ascii="宋体" w:eastAsia="宋体" w:hAnsi="宋体" w:cs="宋体" w:hint="eastAsia"/>
                <w:b/>
                <w:bCs/>
                <w:sz w:val="24"/>
                <w:szCs w:val="24"/>
              </w:rPr>
              <w:t>地点</w:t>
            </w:r>
          </w:p>
        </w:tc>
        <w:tc>
          <w:tcPr>
            <w:tcW w:w="6320" w:type="dxa"/>
            <w:vAlign w:val="center"/>
          </w:tcPr>
          <w:p w14:paraId="5989A4B5" w14:textId="77777777" w:rsidR="00BB411D" w:rsidRDefault="00000000">
            <w:pPr>
              <w:pStyle w:val="TableParagraph"/>
              <w:spacing w:line="360" w:lineRule="auto"/>
              <w:jc w:val="both"/>
              <w:rPr>
                <w:rFonts w:ascii="宋体" w:eastAsia="宋体" w:hAnsi="宋体" w:cs="宋体" w:hint="eastAsia"/>
                <w:sz w:val="24"/>
                <w:szCs w:val="24"/>
                <w:lang w:val="en-US"/>
              </w:rPr>
            </w:pPr>
            <w:r>
              <w:rPr>
                <w:rFonts w:ascii="宋体" w:eastAsia="宋体" w:hAnsi="宋体" w:cs="宋体" w:hint="eastAsia"/>
                <w:sz w:val="24"/>
                <w:szCs w:val="24"/>
              </w:rPr>
              <w:t>券商策略会现场，</w:t>
            </w:r>
            <w:r>
              <w:rPr>
                <w:rFonts w:ascii="宋体" w:eastAsia="宋体" w:hAnsi="宋体" w:cs="宋体" w:hint="eastAsia"/>
                <w:sz w:val="24"/>
                <w:szCs w:val="24"/>
                <w:lang w:val="en-US"/>
              </w:rPr>
              <w:t>机构会议室</w:t>
            </w:r>
          </w:p>
        </w:tc>
      </w:tr>
      <w:tr w:rsidR="00BB411D" w14:paraId="0BB7D542" w14:textId="77777777">
        <w:trPr>
          <w:trHeight w:val="895"/>
          <w:jc w:val="center"/>
        </w:trPr>
        <w:tc>
          <w:tcPr>
            <w:tcW w:w="1961" w:type="dxa"/>
            <w:vAlign w:val="center"/>
          </w:tcPr>
          <w:p w14:paraId="5B40C5CE" w14:textId="77777777" w:rsidR="00BB411D" w:rsidRDefault="00000000">
            <w:pPr>
              <w:pStyle w:val="TableParagraph"/>
              <w:spacing w:before="1" w:line="360" w:lineRule="auto"/>
              <w:ind w:left="107"/>
              <w:rPr>
                <w:rFonts w:ascii="宋体" w:eastAsia="宋体" w:hAnsi="宋体" w:cs="宋体" w:hint="eastAsia"/>
                <w:b/>
                <w:bCs/>
                <w:sz w:val="24"/>
                <w:szCs w:val="24"/>
              </w:rPr>
            </w:pPr>
            <w:r>
              <w:rPr>
                <w:rFonts w:ascii="宋体" w:eastAsia="宋体" w:hAnsi="宋体" w:cs="宋体" w:hint="eastAsia"/>
                <w:b/>
                <w:bCs/>
                <w:sz w:val="24"/>
                <w:szCs w:val="24"/>
              </w:rPr>
              <w:t>上市公司接待人员姓名</w:t>
            </w:r>
          </w:p>
        </w:tc>
        <w:tc>
          <w:tcPr>
            <w:tcW w:w="6320" w:type="dxa"/>
            <w:vAlign w:val="center"/>
          </w:tcPr>
          <w:p w14:paraId="7B8D2B21" w14:textId="77777777" w:rsidR="00BB411D" w:rsidRDefault="00000000">
            <w:pPr>
              <w:pStyle w:val="TableParagraph"/>
              <w:snapToGrid w:val="0"/>
              <w:spacing w:line="400" w:lineRule="exact"/>
              <w:rPr>
                <w:rFonts w:ascii="宋体" w:eastAsia="宋体" w:hAnsi="宋体" w:cs="宋体" w:hint="eastAsia"/>
                <w:sz w:val="24"/>
                <w:szCs w:val="24"/>
              </w:rPr>
            </w:pPr>
            <w:r>
              <w:rPr>
                <w:rFonts w:ascii="宋体" w:eastAsia="宋体" w:hAnsi="宋体" w:cs="宋体" w:hint="eastAsia"/>
                <w:sz w:val="24"/>
                <w:szCs w:val="24"/>
              </w:rPr>
              <w:t>副总经理兼董事会秘书 江桂芝女士</w:t>
            </w:r>
          </w:p>
          <w:p w14:paraId="57A06664" w14:textId="77777777" w:rsidR="00BB411D" w:rsidRDefault="00000000">
            <w:pPr>
              <w:pStyle w:val="TableParagraph"/>
              <w:snapToGrid w:val="0"/>
              <w:spacing w:line="400" w:lineRule="exact"/>
              <w:rPr>
                <w:rFonts w:ascii="宋体" w:eastAsia="宋体" w:hAnsi="宋体" w:cs="宋体" w:hint="eastAsia"/>
                <w:sz w:val="24"/>
                <w:szCs w:val="24"/>
              </w:rPr>
            </w:pPr>
            <w:r>
              <w:rPr>
                <w:rFonts w:ascii="宋体" w:eastAsia="宋体" w:hAnsi="宋体" w:cs="宋体" w:hint="eastAsia"/>
                <w:sz w:val="24"/>
                <w:szCs w:val="24"/>
              </w:rPr>
              <w:t>证券事务代表 黄丽琼女士</w:t>
            </w:r>
          </w:p>
        </w:tc>
      </w:tr>
      <w:tr w:rsidR="00BB411D" w14:paraId="4CE101DB" w14:textId="77777777">
        <w:trPr>
          <w:trHeight w:val="557"/>
          <w:jc w:val="center"/>
        </w:trPr>
        <w:tc>
          <w:tcPr>
            <w:tcW w:w="1961" w:type="dxa"/>
          </w:tcPr>
          <w:p w14:paraId="240967BD" w14:textId="77777777" w:rsidR="00BB411D" w:rsidRDefault="00BB411D">
            <w:pPr>
              <w:pStyle w:val="TableParagraph"/>
              <w:rPr>
                <w:rFonts w:ascii="宋体" w:eastAsia="宋体" w:hAnsi="宋体" w:cs="宋体" w:hint="eastAsia"/>
                <w:b/>
                <w:bCs/>
                <w:sz w:val="24"/>
                <w:szCs w:val="24"/>
              </w:rPr>
            </w:pPr>
          </w:p>
          <w:p w14:paraId="5EAA0121" w14:textId="77777777" w:rsidR="00BB411D" w:rsidRDefault="00BB411D">
            <w:pPr>
              <w:pStyle w:val="TableParagraph"/>
              <w:rPr>
                <w:rFonts w:ascii="宋体" w:eastAsia="宋体" w:hAnsi="宋体" w:cs="宋体" w:hint="eastAsia"/>
                <w:b/>
                <w:bCs/>
                <w:sz w:val="24"/>
                <w:szCs w:val="24"/>
              </w:rPr>
            </w:pPr>
          </w:p>
          <w:p w14:paraId="7190E571" w14:textId="77777777" w:rsidR="00BB411D" w:rsidRDefault="00BB411D">
            <w:pPr>
              <w:pStyle w:val="TableParagraph"/>
              <w:spacing w:before="5"/>
              <w:rPr>
                <w:rFonts w:ascii="宋体" w:eastAsia="宋体" w:hAnsi="宋体" w:cs="宋体" w:hint="eastAsia"/>
                <w:b/>
                <w:bCs/>
                <w:sz w:val="24"/>
                <w:szCs w:val="24"/>
              </w:rPr>
            </w:pPr>
          </w:p>
          <w:p w14:paraId="777271FC" w14:textId="77777777" w:rsidR="00BB411D" w:rsidRDefault="00000000">
            <w:pPr>
              <w:pStyle w:val="TableParagraph"/>
              <w:spacing w:before="1" w:line="499" w:lineRule="auto"/>
              <w:ind w:left="107" w:right="96"/>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6320" w:type="dxa"/>
          </w:tcPr>
          <w:p w14:paraId="5F03FB5C" w14:textId="77777777" w:rsidR="00BB411D" w:rsidRDefault="00000000">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1.当前供应链的重要性愈发突出，请问近年来国家层面出台了哪些与供应链运营行业相关的支持政策？</w:t>
            </w:r>
          </w:p>
          <w:p w14:paraId="67BE872C" w14:textId="77777777"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sidRPr="002517A5">
              <w:rPr>
                <w:rFonts w:ascii="宋体" w:eastAsia="宋体" w:hAnsi="宋体" w:cs="宋体" w:hint="eastAsia"/>
                <w:kern w:val="2"/>
                <w:sz w:val="24"/>
                <w:szCs w:val="24"/>
                <w:lang w:val="en-US" w:bidi="ar-SA"/>
                <w14:ligatures w14:val="standardContextual"/>
              </w:rPr>
              <w:t>答：</w:t>
            </w:r>
            <w:r>
              <w:rPr>
                <w:rFonts w:ascii="宋体" w:eastAsia="宋体" w:hAnsi="宋体" w:cs="宋体" w:hint="eastAsia"/>
                <w:kern w:val="2"/>
                <w:sz w:val="24"/>
                <w:szCs w:val="24"/>
                <w:lang w:val="en-US" w:bidi="ar-SA"/>
                <w14:ligatures w14:val="standardContextual"/>
              </w:rPr>
              <w:t>在宏观不确定性提升的背景下，供应链运营业务</w:t>
            </w:r>
            <w:r w:rsidRPr="002517A5">
              <w:rPr>
                <w:rFonts w:ascii="宋体" w:eastAsia="宋体" w:hAnsi="宋体" w:cs="宋体" w:hint="eastAsia"/>
                <w:kern w:val="2"/>
                <w:sz w:val="24"/>
                <w:szCs w:val="24"/>
                <w:lang w:val="en-US" w:bidi="ar-SA"/>
                <w14:ligatures w14:val="standardContextual"/>
              </w:rPr>
              <w:t>在提升产业链效率与安全性方面的重要性日益凸显</w:t>
            </w:r>
            <w:r>
              <w:rPr>
                <w:rFonts w:ascii="宋体" w:eastAsia="宋体" w:hAnsi="宋体" w:cs="宋体" w:hint="eastAsia"/>
                <w:kern w:val="2"/>
                <w:sz w:val="24"/>
                <w:szCs w:val="24"/>
                <w:lang w:val="en-US" w:bidi="ar-SA"/>
                <w14:ligatures w14:val="standardContextual"/>
              </w:rPr>
              <w:t>，近年来政府在国内国外双循环、行业转型等方面出台了若干供应链运营行业支持政策，</w:t>
            </w:r>
            <w:r w:rsidRPr="002517A5">
              <w:rPr>
                <w:rFonts w:ascii="宋体" w:eastAsia="宋体" w:hAnsi="宋体" w:cs="宋体" w:hint="eastAsia"/>
                <w:kern w:val="2"/>
                <w:sz w:val="24"/>
                <w:szCs w:val="24"/>
                <w:lang w:val="en-US" w:bidi="ar-SA"/>
                <w14:ligatures w14:val="standardContextual"/>
              </w:rPr>
              <w:t>包括但不限于</w:t>
            </w:r>
            <w:r>
              <w:rPr>
                <w:rFonts w:ascii="宋体" w:eastAsia="宋体" w:hAnsi="宋体" w:cs="宋体" w:hint="eastAsia"/>
                <w:kern w:val="2"/>
                <w:sz w:val="24"/>
                <w:szCs w:val="24"/>
                <w:lang w:val="en-US" w:bidi="ar-SA"/>
                <w14:ligatures w14:val="standardContextual"/>
              </w:rPr>
              <w:t>以下政策：</w:t>
            </w:r>
          </w:p>
          <w:p w14:paraId="3DAC55A7" w14:textId="77777777" w:rsidR="00BB411D" w:rsidRDefault="00000000" w:rsidP="002517A5">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在内循环层面，2024年末</w:t>
            </w:r>
            <w:r w:rsidRPr="002517A5">
              <w:rPr>
                <w:rFonts w:ascii="宋体" w:eastAsia="宋体" w:hAnsi="宋体" w:cs="宋体" w:hint="eastAsia"/>
                <w:kern w:val="2"/>
                <w:sz w:val="24"/>
                <w:szCs w:val="24"/>
                <w:lang w:val="en-US" w:bidi="ar-SA"/>
                <w14:ligatures w14:val="standardContextual"/>
              </w:rPr>
              <w:t>中共中央办公厅、国务院办公厅印发了《有效降低全社会物流成本行动方案</w:t>
            </w:r>
            <w:r>
              <w:rPr>
                <w:rFonts w:ascii="宋体" w:eastAsia="宋体" w:hAnsi="宋体" w:cs="宋体" w:hint="eastAsia"/>
                <w:kern w:val="2"/>
                <w:sz w:val="24"/>
                <w:szCs w:val="24"/>
                <w:lang w:val="en-US" w:bidi="ar-SA"/>
                <w14:ligatures w14:val="standardContextual"/>
              </w:rPr>
              <w:t>》，明确提出要</w:t>
            </w:r>
            <w:r w:rsidRPr="002517A5">
              <w:rPr>
                <w:rFonts w:ascii="宋体" w:eastAsia="宋体" w:hAnsi="宋体" w:cs="宋体" w:hint="eastAsia"/>
                <w:kern w:val="2"/>
                <w:sz w:val="24"/>
                <w:szCs w:val="24"/>
                <w:lang w:val="en-US" w:bidi="ar-SA"/>
                <w14:ligatures w14:val="standardContextual"/>
              </w:rPr>
              <w:t>加快现代供应链体系建设</w:t>
            </w:r>
            <w:r>
              <w:rPr>
                <w:rFonts w:ascii="宋体" w:eastAsia="宋体" w:hAnsi="宋体" w:cs="宋体" w:hint="eastAsia"/>
                <w:kern w:val="2"/>
                <w:sz w:val="24"/>
                <w:szCs w:val="24"/>
                <w:lang w:val="en-US" w:bidi="ar-SA"/>
                <w14:ligatures w14:val="standardContextual"/>
              </w:rPr>
              <w:t>，</w:t>
            </w:r>
            <w:r w:rsidRPr="002517A5">
              <w:rPr>
                <w:rFonts w:ascii="宋体" w:eastAsia="宋体" w:hAnsi="宋体" w:cs="宋体" w:hint="eastAsia"/>
                <w:kern w:val="2"/>
                <w:sz w:val="24"/>
                <w:szCs w:val="24"/>
                <w:lang w:val="en-US" w:bidi="ar-SA"/>
                <w14:ligatures w14:val="standardContextual"/>
              </w:rPr>
              <w:t>推动大型工商企业提升物流管理水平和社会化程度</w:t>
            </w:r>
            <w:r>
              <w:rPr>
                <w:rFonts w:ascii="宋体" w:eastAsia="宋体" w:hAnsi="宋体" w:cs="宋体" w:hint="eastAsia"/>
                <w:kern w:val="2"/>
                <w:sz w:val="24"/>
                <w:szCs w:val="24"/>
                <w:lang w:val="en-US" w:bidi="ar-SA"/>
                <w14:ligatures w14:val="standardContextual"/>
              </w:rPr>
              <w:t>，</w:t>
            </w:r>
            <w:r w:rsidRPr="002517A5">
              <w:rPr>
                <w:rFonts w:ascii="宋体" w:eastAsia="宋体" w:hAnsi="宋体" w:cs="宋体" w:hint="eastAsia"/>
                <w:kern w:val="2"/>
                <w:sz w:val="24"/>
                <w:szCs w:val="24"/>
                <w:lang w:val="en-US" w:bidi="ar-SA"/>
                <w14:ligatures w14:val="standardContextual"/>
              </w:rPr>
              <w:t>加强制造业供应链融合创新，深化供应链创新与应用</w:t>
            </w:r>
            <w:r>
              <w:rPr>
                <w:rFonts w:ascii="宋体" w:eastAsia="宋体" w:hAnsi="宋体" w:cs="宋体" w:hint="eastAsia"/>
                <w:kern w:val="2"/>
                <w:sz w:val="24"/>
                <w:szCs w:val="24"/>
                <w:lang w:val="en-US" w:bidi="ar-SA"/>
                <w14:ligatures w14:val="standardContextual"/>
              </w:rPr>
              <w:t>，</w:t>
            </w:r>
            <w:r w:rsidRPr="002517A5">
              <w:rPr>
                <w:rFonts w:ascii="宋体" w:eastAsia="宋体" w:hAnsi="宋体" w:cs="宋体" w:hint="eastAsia"/>
                <w:kern w:val="2"/>
                <w:sz w:val="24"/>
                <w:szCs w:val="24"/>
                <w:lang w:val="en-US" w:bidi="ar-SA"/>
                <w14:ligatures w14:val="standardContextual"/>
              </w:rPr>
              <w:t>提升商贸供应链协同水平。</w:t>
            </w:r>
          </w:p>
          <w:p w14:paraId="37DEBE68" w14:textId="0333973A"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 xml:space="preserve">    在外循环层面，2024年7月发布的《</w:t>
            </w:r>
            <w:r w:rsidRPr="002517A5">
              <w:rPr>
                <w:rFonts w:ascii="宋体" w:eastAsia="宋体" w:hAnsi="宋体" w:cs="宋体" w:hint="eastAsia"/>
                <w:kern w:val="2"/>
                <w:sz w:val="24"/>
                <w:szCs w:val="24"/>
                <w:lang w:val="en-US" w:bidi="ar-SA"/>
                <w14:ligatures w14:val="standardContextual"/>
              </w:rPr>
              <w:t>中共中央关于进一步全面深化改革</w:t>
            </w:r>
            <w:r w:rsidRPr="002517A5">
              <w:rPr>
                <w:rFonts w:ascii="宋体" w:eastAsia="宋体" w:hAnsi="宋体" w:cs="宋体"/>
                <w:kern w:val="2"/>
                <w:sz w:val="24"/>
                <w:szCs w:val="24"/>
                <w:lang w:val="en-US" w:bidi="ar-SA"/>
                <w14:ligatures w14:val="standardContextual"/>
              </w:rPr>
              <w:t> 推进中国式现代化的决定</w:t>
            </w:r>
            <w:r>
              <w:rPr>
                <w:rFonts w:ascii="宋体" w:eastAsia="宋体" w:hAnsi="宋体" w:cs="宋体" w:hint="eastAsia"/>
                <w:kern w:val="2"/>
                <w:sz w:val="24"/>
                <w:szCs w:val="24"/>
                <w:lang w:val="en-US" w:bidi="ar-SA"/>
                <w14:ligatures w14:val="standardContextual"/>
              </w:rPr>
              <w:t>》明确指出要</w:t>
            </w:r>
            <w:r w:rsidRPr="002517A5">
              <w:rPr>
                <w:rFonts w:ascii="宋体" w:eastAsia="宋体" w:hAnsi="宋体" w:cs="宋体" w:hint="eastAsia"/>
                <w:kern w:val="2"/>
                <w:sz w:val="24"/>
                <w:szCs w:val="24"/>
                <w:lang w:val="en-US" w:bidi="ar-SA"/>
                <w14:ligatures w14:val="standardContextual"/>
              </w:rPr>
              <w:t>建设大宗商品交易中心，建设全球集散分拨中心，支持各类主体有序布局海外流通设施，支持有条件的地区建设国际物流枢纽中心和大宗商品资源配置枢纽</w:t>
            </w:r>
            <w:r w:rsidR="001E141B">
              <w:rPr>
                <w:rFonts w:ascii="宋体" w:eastAsia="宋体" w:hAnsi="宋体" w:cs="宋体" w:hint="eastAsia"/>
                <w:kern w:val="2"/>
                <w:sz w:val="24"/>
                <w:szCs w:val="24"/>
                <w:lang w:val="en-US" w:bidi="ar-SA"/>
                <w14:ligatures w14:val="standardContextual"/>
              </w:rPr>
              <w:t>；</w:t>
            </w:r>
            <w:r w:rsidRPr="002517A5">
              <w:rPr>
                <w:rFonts w:ascii="宋体" w:eastAsia="宋体" w:hAnsi="宋体" w:cs="宋体" w:hint="eastAsia"/>
                <w:kern w:val="2"/>
                <w:sz w:val="24"/>
                <w:szCs w:val="24"/>
                <w:lang w:val="en-US" w:bidi="ar-SA"/>
                <w14:ligatures w14:val="standardContextual"/>
              </w:rPr>
              <w:t>创新提升服务贸易，全面</w:t>
            </w:r>
            <w:r w:rsidRPr="002517A5">
              <w:rPr>
                <w:rFonts w:ascii="宋体" w:eastAsia="宋体" w:hAnsi="宋体" w:cs="宋体" w:hint="eastAsia"/>
                <w:kern w:val="2"/>
                <w:sz w:val="24"/>
                <w:szCs w:val="24"/>
                <w:lang w:val="en-US" w:bidi="ar-SA"/>
                <w14:ligatures w14:val="standardContextual"/>
              </w:rPr>
              <w:lastRenderedPageBreak/>
              <w:t>实施跨境服务贸易负面清单，推进服务业扩大开放综合试点示范，鼓励专业服务机构提升国际化服务能力。</w:t>
            </w:r>
            <w:r>
              <w:rPr>
                <w:rFonts w:ascii="宋体" w:eastAsia="宋体" w:hAnsi="宋体" w:cs="宋体" w:hint="eastAsia"/>
                <w:kern w:val="2"/>
                <w:sz w:val="24"/>
                <w:szCs w:val="24"/>
                <w:lang w:val="en-US" w:bidi="ar-SA"/>
                <w14:ligatures w14:val="standardContextual"/>
              </w:rPr>
              <w:t>而后在2025年9月，</w:t>
            </w:r>
            <w:r w:rsidRPr="002517A5">
              <w:rPr>
                <w:rFonts w:ascii="宋体" w:eastAsia="宋体" w:hAnsi="宋体" w:cs="宋体" w:hint="eastAsia"/>
                <w:kern w:val="2"/>
                <w:sz w:val="24"/>
                <w:szCs w:val="24"/>
                <w:lang w:val="en-US" w:bidi="ar-SA"/>
                <w14:ligatures w14:val="standardContextual"/>
              </w:rPr>
              <w:t>商务部等9部门印发</w:t>
            </w:r>
            <w:r>
              <w:rPr>
                <w:rFonts w:ascii="宋体" w:eastAsia="宋体" w:hAnsi="宋体" w:cs="宋体" w:hint="eastAsia"/>
                <w:kern w:val="2"/>
                <w:sz w:val="24"/>
                <w:szCs w:val="24"/>
                <w:lang w:val="en-US" w:bidi="ar-SA"/>
                <w14:ligatures w14:val="standardContextual"/>
              </w:rPr>
              <w:t>的</w:t>
            </w:r>
            <w:r w:rsidRPr="002517A5">
              <w:rPr>
                <w:rFonts w:ascii="宋体" w:eastAsia="宋体" w:hAnsi="宋体" w:cs="宋体" w:hint="eastAsia"/>
                <w:kern w:val="2"/>
                <w:sz w:val="24"/>
                <w:szCs w:val="24"/>
                <w:lang w:val="en-US" w:bidi="ar-SA"/>
                <w14:ligatures w14:val="standardContextual"/>
              </w:rPr>
              <w:t>《关于促进服务出口的若干政策措施》</w:t>
            </w:r>
            <w:r>
              <w:rPr>
                <w:rFonts w:ascii="宋体" w:eastAsia="宋体" w:hAnsi="宋体" w:cs="宋体" w:hint="eastAsia"/>
                <w:kern w:val="2"/>
                <w:sz w:val="24"/>
                <w:szCs w:val="24"/>
                <w:lang w:val="en-US" w:bidi="ar-SA"/>
                <w14:ligatures w14:val="standardContextual"/>
              </w:rPr>
              <w:t>将供应链服务明确列为国家重点支持的服务出口新业态新模式之一，并将其纳入《服务出口重点领域指导目录》。</w:t>
            </w:r>
          </w:p>
          <w:p w14:paraId="61098BDD" w14:textId="77777777" w:rsidR="00BB411D" w:rsidRPr="002517A5" w:rsidRDefault="00000000" w:rsidP="002517A5">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此外，在供应链数智化转型层面，2025年3月商务部等8部门</w:t>
            </w:r>
            <w:r w:rsidRPr="002517A5">
              <w:rPr>
                <w:rFonts w:ascii="宋体" w:eastAsia="宋体" w:hAnsi="宋体" w:cs="宋体" w:hint="eastAsia"/>
                <w:kern w:val="2"/>
                <w:sz w:val="24"/>
                <w:szCs w:val="24"/>
                <w:lang w:val="en-US" w:bidi="ar-SA"/>
                <w14:ligatures w14:val="standardContextual"/>
              </w:rPr>
              <w:t>联合印发了《加快数智供应链发展专项行动计划》</w:t>
            </w:r>
            <w:r>
              <w:rPr>
                <w:rFonts w:ascii="宋体" w:eastAsia="宋体" w:hAnsi="宋体" w:cs="宋体" w:hint="eastAsia"/>
                <w:kern w:val="2"/>
                <w:sz w:val="24"/>
                <w:szCs w:val="24"/>
                <w:lang w:val="en-US" w:bidi="ar-SA"/>
                <w14:ligatures w14:val="standardContextual"/>
              </w:rPr>
              <w:t>，</w:t>
            </w:r>
            <w:r w:rsidRPr="002517A5">
              <w:rPr>
                <w:rFonts w:ascii="宋体" w:eastAsia="宋体" w:hAnsi="宋体" w:cs="宋体" w:hint="eastAsia"/>
                <w:kern w:val="2"/>
                <w:sz w:val="24"/>
                <w:szCs w:val="24"/>
                <w:lang w:val="en-US" w:bidi="ar-SA"/>
                <w14:ligatures w14:val="standardContextual"/>
              </w:rPr>
              <w:t>提出</w:t>
            </w:r>
            <w:r>
              <w:rPr>
                <w:rFonts w:ascii="宋体" w:eastAsia="宋体" w:hAnsi="宋体" w:cs="宋体" w:hint="eastAsia"/>
                <w:kern w:val="2"/>
                <w:sz w:val="24"/>
                <w:szCs w:val="24"/>
                <w:lang w:val="en-US" w:bidi="ar-SA"/>
                <w14:ligatures w14:val="standardContextual"/>
              </w:rPr>
              <w:t>要</w:t>
            </w:r>
            <w:r w:rsidRPr="002517A5">
              <w:rPr>
                <w:rFonts w:ascii="宋体" w:eastAsia="宋体" w:hAnsi="宋体" w:cs="宋体" w:hint="eastAsia"/>
                <w:kern w:val="2"/>
                <w:sz w:val="24"/>
                <w:szCs w:val="24"/>
                <w:lang w:val="en-US" w:bidi="ar-SA"/>
                <w14:ligatures w14:val="standardContextual"/>
              </w:rPr>
              <w:t>运用人工智能、物联网、区块链等新技术，“一链一策”推进供应链数字化、智能化、可视化改造，到2030年，形成可复制推广的数智供应链建设和发展模式，在重要产业和关键领域基本建立深度嵌入、智慧高效、自主可控的数智供应链体系，培育100家左右全国数智供应链领军企业，</w:t>
            </w:r>
            <w:r>
              <w:rPr>
                <w:rFonts w:ascii="宋体" w:eastAsia="宋体" w:hAnsi="宋体" w:cs="宋体" w:hint="eastAsia"/>
                <w:kern w:val="2"/>
                <w:sz w:val="24"/>
                <w:szCs w:val="24"/>
                <w:lang w:val="en-US" w:bidi="ar-SA"/>
                <w14:ligatures w14:val="standardContextual"/>
              </w:rPr>
              <w:t>进一步提升国家</w:t>
            </w:r>
            <w:r w:rsidRPr="002517A5">
              <w:rPr>
                <w:rFonts w:ascii="宋体" w:eastAsia="宋体" w:hAnsi="宋体" w:cs="宋体" w:hint="eastAsia"/>
                <w:kern w:val="2"/>
                <w:sz w:val="24"/>
                <w:szCs w:val="24"/>
                <w:lang w:val="en-US" w:bidi="ar-SA"/>
                <w14:ligatures w14:val="standardContextual"/>
              </w:rPr>
              <w:t>产业链供应链韧性和安全水平。</w:t>
            </w:r>
          </w:p>
          <w:p w14:paraId="32E8FB4C" w14:textId="77777777" w:rsidR="00BB411D" w:rsidRDefault="00BB411D">
            <w:pPr>
              <w:autoSpaceDE/>
              <w:autoSpaceDN/>
              <w:spacing w:line="360" w:lineRule="auto"/>
              <w:jc w:val="both"/>
              <w:rPr>
                <w:rFonts w:ascii="宋体" w:eastAsia="宋体" w:hAnsi="宋体" w:cs="宋体" w:hint="eastAsia"/>
                <w:b/>
                <w:bCs/>
                <w:kern w:val="2"/>
                <w:sz w:val="24"/>
                <w:szCs w:val="24"/>
                <w:lang w:val="en-US" w:bidi="ar-SA"/>
                <w14:ligatures w14:val="standardContextual"/>
              </w:rPr>
            </w:pPr>
          </w:p>
          <w:p w14:paraId="45DACD74" w14:textId="640BD4E4"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2.请问公司今年是否会有中期分红，预计什么时候实施？</w:t>
            </w:r>
          </w:p>
          <w:p w14:paraId="4FE1FE2F" w14:textId="4B9A0135"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公司近年来积极尝试通过一年多次分红的方式及时地回报股东。展望2025年中期分红，在公司股东会已经对董事会进行授权的情况下，公司董事会后续将择期发布2025年度中期分红方案，预计公司2025年中期现金分红金额不低于相应期间归属于上市公司股东的净利润的30%，且不超过相应期间归属于上市公司股东的净利润。</w:t>
            </w:r>
          </w:p>
          <w:p w14:paraId="3258ACDD" w14:textId="77777777"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 xml:space="preserve">    此外，公司对2025年度的利润分配计划已经通过公告文件公开承诺：2025年度以现金方式分配的利润不少于当年实现的合并报表归属于上市公司股东的可供分配利润的30%，且每股分红不低于0.7元。</w:t>
            </w:r>
          </w:p>
          <w:p w14:paraId="5241F9B7" w14:textId="6A871C05" w:rsidR="00BB411D" w:rsidRDefault="00000000">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建发股份高度重视股东回报，自上市以来累计分红金额已超190亿元，约为股权融资金额的3倍，“分红融资比”（现金分红金额/股权融资金额）位列全A股前4%。2022年</w:t>
            </w:r>
            <w:r>
              <w:rPr>
                <w:rFonts w:ascii="宋体" w:eastAsia="宋体" w:hAnsi="宋体" w:cs="宋体" w:hint="eastAsia"/>
                <w:kern w:val="2"/>
                <w:sz w:val="24"/>
                <w:szCs w:val="24"/>
                <w:lang w:val="en-US" w:bidi="ar-SA"/>
                <w14:ligatures w14:val="standardContextual"/>
              </w:rPr>
              <w:lastRenderedPageBreak/>
              <w:t>以来公司分红比例持续提升，</w:t>
            </w:r>
            <w:r w:rsidR="00397389">
              <w:rPr>
                <w:rFonts w:ascii="宋体" w:eastAsia="宋体" w:hAnsi="宋体" w:cs="宋体" w:hint="eastAsia"/>
                <w:kern w:val="2"/>
                <w:sz w:val="24"/>
                <w:szCs w:val="24"/>
                <w:lang w:val="en-US" w:bidi="ar-SA"/>
                <w14:ligatures w14:val="standardContextual"/>
              </w:rPr>
              <w:t>若以公司承诺的2025年度分红下限0.7元/股测算，</w:t>
            </w:r>
            <w:r>
              <w:rPr>
                <w:rFonts w:ascii="宋体" w:eastAsia="宋体" w:hAnsi="宋体" w:cs="宋体" w:hint="eastAsia"/>
                <w:kern w:val="2"/>
                <w:sz w:val="24"/>
                <w:szCs w:val="24"/>
                <w:lang w:val="en-US" w:bidi="ar-SA"/>
                <w14:ligatures w14:val="standardContextual"/>
              </w:rPr>
              <w:t>截至2025年10月末，公司股息率接近7%，位居全A股前0.5%。</w:t>
            </w:r>
          </w:p>
          <w:p w14:paraId="742D8947" w14:textId="6E2D3D5F" w:rsidR="00BB411D" w:rsidRDefault="00000000">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未来，公司将在综合考虑股东投资回报和业务可持续发展的基础上，制定具有稳定性、持续性和可预期性的分红政策，切实地回报股东，使广大投资者能够及时分享公司发展红利。</w:t>
            </w:r>
          </w:p>
          <w:p w14:paraId="071E0F74" w14:textId="77777777" w:rsidR="00BB411D" w:rsidRDefault="00BB411D">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1C88FA13" w14:textId="58984DA9" w:rsidR="00BB411D" w:rsidRDefault="00000000">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3.公司消费品业务近年来表现较好，请问消费品业务在品类拓展方面有什么进展？</w:t>
            </w:r>
          </w:p>
          <w:p w14:paraId="524097C2" w14:textId="18D87D66"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答：公司消费品业务是供应链运营业务</w:t>
            </w:r>
            <w:r w:rsidR="00B8527F">
              <w:rPr>
                <w:rFonts w:ascii="宋体" w:eastAsia="宋体" w:hAnsi="宋体" w:cs="宋体" w:hint="eastAsia"/>
                <w:kern w:val="2"/>
                <w:sz w:val="24"/>
                <w:szCs w:val="24"/>
                <w:lang w:val="en-US" w:bidi="ar-SA"/>
                <w14:ligatures w14:val="standardContextual"/>
              </w:rPr>
              <w:t>板块的</w:t>
            </w:r>
            <w:r>
              <w:rPr>
                <w:rFonts w:ascii="宋体" w:eastAsia="宋体" w:hAnsi="宋体" w:cs="宋体" w:hint="eastAsia"/>
                <w:kern w:val="2"/>
                <w:sz w:val="24"/>
                <w:szCs w:val="24"/>
                <w:lang w:val="en-US" w:bidi="ar-SA"/>
                <w14:ligatures w14:val="standardContextual"/>
              </w:rPr>
              <w:t>发展</w:t>
            </w:r>
            <w:r w:rsidR="00B8527F">
              <w:rPr>
                <w:rFonts w:ascii="宋体" w:eastAsia="宋体" w:hAnsi="宋体" w:cs="宋体" w:hint="eastAsia"/>
                <w:kern w:val="2"/>
                <w:sz w:val="24"/>
                <w:szCs w:val="24"/>
                <w:lang w:val="en-US" w:bidi="ar-SA"/>
                <w14:ligatures w14:val="standardContextual"/>
              </w:rPr>
              <w:t>新动能。</w:t>
            </w:r>
            <w:r>
              <w:rPr>
                <w:rFonts w:ascii="宋体" w:eastAsia="宋体" w:hAnsi="宋体" w:cs="宋体" w:hint="eastAsia"/>
                <w:kern w:val="2"/>
                <w:sz w:val="24"/>
                <w:szCs w:val="24"/>
                <w:lang w:val="en-US" w:bidi="ar-SA"/>
                <w14:ligatures w14:val="standardContextual"/>
              </w:rPr>
              <w:t>2025年上半年，公司消费品业务实现营业收入超240亿元，同比增速超20%，其中轻纺板块营业收入超过95亿元，同比增长超35%；泛食品板块营业收入近40亿元，同比增长近25%，咖啡豆、乳制品等品类表现亮眼，如咖啡豆销售额超7亿元，同比增长超120%。</w:t>
            </w:r>
          </w:p>
          <w:p w14:paraId="76EF3803" w14:textId="77777777"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 xml:space="preserve">    近年来，公司持续拓宽消费品服务边界，积极深化与头部品牌的合作关系。2025年10月，建发股份消费品集团旗下生活资材有限公司与云米科技签署战略合作备忘录，双方将依托各自的专业优势和资源禀赋，在净水及相关领域，围绕技术研发、产品制造、市场拓展和供应链服务等方面展开全面合作，协同赋能产业链客户，共建高韧性、可持续的全球产业生态。</w:t>
            </w:r>
          </w:p>
          <w:p w14:paraId="47906AB7" w14:textId="77777777" w:rsidR="00BB411D" w:rsidRDefault="00BB411D">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57D35169" w14:textId="3D4C585F" w:rsidR="00BB411D" w:rsidRDefault="00000000">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4.</w:t>
            </w:r>
            <w:bookmarkStart w:id="0" w:name="OLE_LINK1"/>
            <w:r w:rsidR="00B42151">
              <w:rPr>
                <w:rFonts w:hint="eastAsia"/>
              </w:rPr>
              <w:t xml:space="preserve"> </w:t>
            </w:r>
            <w:r w:rsidR="00B42151" w:rsidRPr="00B42151">
              <w:rPr>
                <w:rFonts w:ascii="宋体" w:eastAsia="宋体" w:hAnsi="宋体" w:cs="宋体" w:hint="eastAsia"/>
                <w:b/>
                <w:bCs/>
                <w:kern w:val="2"/>
                <w:sz w:val="24"/>
                <w:szCs w:val="24"/>
                <w:lang w:val="en-US" w:bidi="ar-SA"/>
                <w14:ligatures w14:val="standardContextual"/>
              </w:rPr>
              <w:t>建发股份在国内农产品</w:t>
            </w:r>
            <w:r w:rsidR="00B42151">
              <w:rPr>
                <w:rFonts w:ascii="宋体" w:eastAsia="宋体" w:hAnsi="宋体" w:cs="宋体" w:hint="eastAsia"/>
                <w:b/>
                <w:bCs/>
                <w:kern w:val="2"/>
                <w:sz w:val="24"/>
                <w:szCs w:val="24"/>
                <w:lang w:val="en-US" w:bidi="ar-SA"/>
                <w14:ligatures w14:val="standardContextual"/>
              </w:rPr>
              <w:t>流通领域</w:t>
            </w:r>
            <w:r w:rsidR="00B42151" w:rsidRPr="00B42151">
              <w:rPr>
                <w:rFonts w:ascii="宋体" w:eastAsia="宋体" w:hAnsi="宋体" w:cs="宋体" w:hint="eastAsia"/>
                <w:b/>
                <w:bCs/>
                <w:kern w:val="2"/>
                <w:sz w:val="24"/>
                <w:szCs w:val="24"/>
                <w:lang w:val="en-US" w:bidi="ar-SA"/>
                <w14:ligatures w14:val="standardContextual"/>
              </w:rPr>
              <w:t>主要提供哪些服务</w:t>
            </w:r>
            <w:r w:rsidR="00B42151">
              <w:rPr>
                <w:rFonts w:ascii="宋体" w:eastAsia="宋体" w:hAnsi="宋体" w:cs="宋体" w:hint="eastAsia"/>
                <w:b/>
                <w:bCs/>
                <w:kern w:val="2"/>
                <w:sz w:val="24"/>
                <w:szCs w:val="24"/>
                <w:lang w:val="en-US" w:bidi="ar-SA"/>
                <w14:ligatures w14:val="standardContextual"/>
              </w:rPr>
              <w:t>？</w:t>
            </w:r>
          </w:p>
          <w:bookmarkEnd w:id="0"/>
          <w:p w14:paraId="3068B63B" w14:textId="36F68D0F"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答：建发股份以资源整合与供应链运营服务为抓手，长期服务于保障国家粮食安全、畅通</w:t>
            </w:r>
            <w:r w:rsidR="00397389">
              <w:rPr>
                <w:rFonts w:ascii="宋体" w:eastAsia="宋体" w:hAnsi="宋体" w:cs="宋体" w:hint="eastAsia"/>
                <w:kern w:val="2"/>
                <w:sz w:val="24"/>
                <w:szCs w:val="24"/>
                <w:lang w:val="en-US" w:bidi="ar-SA"/>
                <w14:ligatures w14:val="standardContextual"/>
              </w:rPr>
              <w:t>“</w:t>
            </w:r>
            <w:r>
              <w:rPr>
                <w:rFonts w:ascii="宋体" w:eastAsia="宋体" w:hAnsi="宋体" w:cs="宋体" w:hint="eastAsia"/>
                <w:kern w:val="2"/>
                <w:sz w:val="24"/>
                <w:szCs w:val="24"/>
                <w:lang w:val="en-US" w:bidi="ar-SA"/>
                <w14:ligatures w14:val="standardContextual"/>
              </w:rPr>
              <w:t>北粮南运</w:t>
            </w:r>
            <w:r w:rsidR="00397389">
              <w:rPr>
                <w:rFonts w:ascii="宋体" w:eastAsia="宋体" w:hAnsi="宋体" w:cs="宋体" w:hint="eastAsia"/>
                <w:kern w:val="2"/>
                <w:sz w:val="24"/>
                <w:szCs w:val="24"/>
                <w:lang w:val="en-US" w:bidi="ar-SA"/>
                <w14:ligatures w14:val="standardContextual"/>
              </w:rPr>
              <w:t>”</w:t>
            </w:r>
            <w:r>
              <w:rPr>
                <w:rFonts w:ascii="宋体" w:eastAsia="宋体" w:hAnsi="宋体" w:cs="宋体" w:hint="eastAsia"/>
                <w:kern w:val="2"/>
                <w:sz w:val="24"/>
                <w:szCs w:val="24"/>
                <w:lang w:val="en-US" w:bidi="ar-SA"/>
                <w14:ligatures w14:val="standardContextual"/>
              </w:rPr>
              <w:t>通道等国家重点战略，在上一产季公司内贸农产品经营量已突破1000万吨，积极助力国内粮食流通体系稳健运行。</w:t>
            </w:r>
          </w:p>
          <w:p w14:paraId="0A18BA36" w14:textId="77777777" w:rsidR="00BB411D" w:rsidRDefault="00000000">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lastRenderedPageBreak/>
              <w:t>近期，公司与辽宁港口集团签署战略合作协议，双方将在粮食仓储、多式联运、信息共享、金融支持等方面开展深度合作，共同打造“北粮南运”供应链合作新生态。公司未来将依托在东北、华北等产区的仓储资源及覆盖公铁海的物流网络，持续优化供应链路径，提升流通效率，降低运营成本，以更加高效的供应链服务范式积极服务国家粮食安全战略，为构建更稳健、高效、可持续的粮食流通体系贡献力量。</w:t>
            </w:r>
          </w:p>
          <w:p w14:paraId="49CA1AC8" w14:textId="77777777" w:rsidR="00BB411D" w:rsidRDefault="00BB411D">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702E591A" w14:textId="2B8E4D32" w:rsidR="00BB411D" w:rsidRDefault="00000000">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5</w:t>
            </w:r>
            <w:r w:rsidRPr="002517A5">
              <w:rPr>
                <w:rFonts w:ascii="宋体" w:eastAsia="宋体" w:hAnsi="宋体" w:cs="宋体" w:hint="eastAsia"/>
                <w:b/>
                <w:bCs/>
                <w:kern w:val="2"/>
                <w:sz w:val="24"/>
                <w:szCs w:val="24"/>
                <w:lang w:val="en-US" w:bidi="ar-SA"/>
                <w14:ligatures w14:val="standardContextual"/>
              </w:rPr>
              <w:t>.</w:t>
            </w:r>
            <w:r>
              <w:rPr>
                <w:rFonts w:ascii="宋体" w:eastAsia="宋体" w:hAnsi="宋体" w:cs="宋体" w:hint="eastAsia"/>
                <w:b/>
                <w:bCs/>
                <w:kern w:val="2"/>
                <w:sz w:val="24"/>
                <w:szCs w:val="24"/>
                <w:lang w:val="en-US" w:bidi="ar-SA"/>
                <w14:ligatures w14:val="standardContextual"/>
              </w:rPr>
              <w:t>伴随AI等技术的快速迭代，供应链数智化能力建设的重要性日益凸显，请问公司在这一方面有何进展？</w:t>
            </w:r>
          </w:p>
          <w:p w14:paraId="2C2C7803" w14:textId="3CD26117" w:rsidR="00BB411D" w:rsidRPr="002517A5"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w:t>
            </w:r>
            <w:r w:rsidRPr="002517A5">
              <w:rPr>
                <w:rFonts w:ascii="宋体" w:eastAsia="宋体" w:hAnsi="宋体" w:cs="宋体" w:hint="eastAsia"/>
                <w:kern w:val="2"/>
                <w:sz w:val="24"/>
                <w:szCs w:val="24"/>
                <w:lang w:val="en-US" w:bidi="ar-SA"/>
                <w14:ligatures w14:val="standardContextual"/>
              </w:rPr>
              <w:t>公司长期致力于打造具有建发特色的数智化供应链服务体系，持续丰富产业互联网平台功能，助力产业链客商协同发展。公司目前已通过大数据、人工智能、物流网等技术开发建成“建发云钢”“纸源网”“浆易通”“农E点”等产业互联网平台，为客户提供涵盖行业资讯、智慧物流、供应链金融等领域的一站式供应链服务。</w:t>
            </w:r>
            <w:r>
              <w:rPr>
                <w:rFonts w:ascii="宋体" w:eastAsia="宋体" w:hAnsi="宋体" w:cs="宋体" w:hint="eastAsia"/>
                <w:kern w:val="2"/>
                <w:sz w:val="24"/>
                <w:szCs w:val="24"/>
                <w:lang w:val="en-US" w:bidi="ar-SA"/>
                <w14:ligatures w14:val="standardContextual"/>
              </w:rPr>
              <w:t>2025年</w:t>
            </w:r>
            <w:r w:rsidR="00B8527F">
              <w:rPr>
                <w:rFonts w:ascii="宋体" w:eastAsia="宋体" w:hAnsi="宋体" w:cs="宋体" w:hint="eastAsia"/>
                <w:kern w:val="2"/>
                <w:sz w:val="24"/>
                <w:szCs w:val="24"/>
                <w:lang w:val="en-US" w:bidi="ar-SA"/>
                <w14:ligatures w14:val="standardContextual"/>
              </w:rPr>
              <w:t>，</w:t>
            </w:r>
            <w:r w:rsidRPr="002517A5">
              <w:rPr>
                <w:rFonts w:ascii="宋体" w:eastAsia="宋体" w:hAnsi="宋体" w:cs="宋体" w:hint="eastAsia"/>
                <w:kern w:val="2"/>
                <w:sz w:val="24"/>
                <w:szCs w:val="24"/>
                <w:lang w:val="en-US" w:bidi="ar-SA"/>
                <w14:ligatures w14:val="standardContextual"/>
              </w:rPr>
              <w:t>建发浆纸开发的“纸源网”“浆易通”平台入选商务部印发的</w:t>
            </w:r>
            <w:r w:rsidRPr="002517A5">
              <w:rPr>
                <w:rFonts w:ascii="宋体" w:eastAsia="宋体" w:hAnsi="宋体" w:cs="宋体" w:hint="eastAsia"/>
                <w:kern w:val="2"/>
                <w:sz w:val="24"/>
                <w:szCs w:val="24"/>
                <w:lang w:val="en-US"/>
                <w14:ligatures w14:val="standardContextual"/>
              </w:rPr>
              <w:t>《数智供应链案例集》，</w:t>
            </w:r>
            <w:r w:rsidRPr="002517A5">
              <w:rPr>
                <w:rFonts w:ascii="宋体" w:eastAsia="宋体" w:hAnsi="宋体" w:cs="宋体" w:hint="eastAsia"/>
                <w:kern w:val="2"/>
                <w:sz w:val="24"/>
                <w:szCs w:val="24"/>
                <w:lang w:val="en-US" w:bidi="ar-SA"/>
                <w14:ligatures w14:val="standardContextual"/>
              </w:rPr>
              <w:t>建发农产品集团旗下“农E点”平台获得“2025人工智能应用大赛（采购与供应链赛道）”银奖。</w:t>
            </w:r>
          </w:p>
          <w:p w14:paraId="51AC6E12" w14:textId="77777777" w:rsidR="00BB411D" w:rsidRPr="002517A5" w:rsidRDefault="00000000" w:rsidP="002517A5">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2517A5">
              <w:rPr>
                <w:rFonts w:ascii="宋体" w:eastAsia="宋体" w:hAnsi="宋体" w:cs="宋体" w:hint="eastAsia"/>
                <w:kern w:val="2"/>
                <w:sz w:val="24"/>
                <w:szCs w:val="24"/>
                <w:lang w:val="en-US" w:bidi="ar-SA"/>
                <w14:ligatures w14:val="standardContextual"/>
              </w:rPr>
              <w:t>此外，公司亦将数智化技术深度融入风控体系建设，持续优化涵盖信用、货权、价格、履约等关键风控要素的“E 风控”体系，基于体系沉淀的风控数据+AI 形成智能风控模型，形成“预防-预警-处置”全流程闭环管理，为供应链业务稳健运营提供数智化保障。</w:t>
            </w:r>
          </w:p>
          <w:p w14:paraId="563B775F" w14:textId="66D7D4B4"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 xml:space="preserve">    </w:t>
            </w:r>
          </w:p>
          <w:p w14:paraId="4561363C" w14:textId="0107EAB7"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u w:val="single"/>
                <w:lang w:val="en-US" w:bidi="ar-SA"/>
                <w14:ligatures w14:val="standardContextual"/>
              </w:rPr>
              <w:t>以下内容为公司三季报业绩发布后的沟通交流内容</w:t>
            </w:r>
            <w:r>
              <w:rPr>
                <w:rFonts w:ascii="宋体" w:eastAsia="宋体" w:hAnsi="宋体" w:cs="宋体" w:hint="eastAsia"/>
                <w:kern w:val="2"/>
                <w:sz w:val="24"/>
                <w:szCs w:val="24"/>
                <w:lang w:val="en-US" w:bidi="ar-SA"/>
                <w14:ligatures w14:val="standardContextual"/>
              </w:rPr>
              <w:t>：</w:t>
            </w:r>
          </w:p>
          <w:p w14:paraId="5678375C" w14:textId="27C4227C" w:rsidR="00BB411D" w:rsidRDefault="00000000" w:rsidP="002517A5">
            <w:pPr>
              <w:tabs>
                <w:tab w:val="left" w:pos="312"/>
              </w:tabs>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6.三季度大宗商品市场波动较大，公司供应链运营业务表现如何？</w:t>
            </w:r>
          </w:p>
          <w:p w14:paraId="461B3A3A" w14:textId="77777777"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答：2025年前三季度公司供应链运营业务实现归母净利润</w:t>
            </w:r>
            <w:r>
              <w:rPr>
                <w:rFonts w:ascii="宋体" w:eastAsia="宋体" w:hAnsi="宋体" w:cs="宋体" w:hint="eastAsia"/>
                <w:kern w:val="2"/>
                <w:sz w:val="24"/>
                <w:szCs w:val="24"/>
                <w:lang w:val="en-US" w:bidi="ar-SA"/>
                <w14:ligatures w14:val="standardContextual"/>
              </w:rPr>
              <w:lastRenderedPageBreak/>
              <w:t>23.39亿元，较上年同期增加0.94亿元，同比增长4.21%；第三季度实现归母净利润9.19亿元，同比增长11.68%，相较第二季度环比增加3.47亿元，环比增长60.71%。在外界扰动因素频发的背景下，公司供应链运营业务业绩“压舱石”的作用持续凸显。</w:t>
            </w:r>
          </w:p>
          <w:p w14:paraId="35363859" w14:textId="2A6BA4C6" w:rsidR="00BB411D" w:rsidRDefault="00000000">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三季度公司继续巩固行业领先地位、深化国际化战略，推动供应链运营业务稳健增长，前三季度主要大宗商品经营总货量达1.5亿吨、延续增长态势，海外业务规模同比增长23%，增速较上半年有明显提升。</w:t>
            </w:r>
          </w:p>
          <w:p w14:paraId="2480B081" w14:textId="77777777" w:rsidR="00BB411D" w:rsidRDefault="00BB411D">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35620B30" w14:textId="6947BAF3" w:rsidR="00BB411D" w:rsidRDefault="00000000">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7.前三季度建发房产销售表现如何，灯塔战略的推进情况怎么样？</w:t>
            </w:r>
          </w:p>
          <w:p w14:paraId="0122A9BF" w14:textId="46466C3B"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2025年，子公司建发房产发布“好房子体系”，并以“锚定战略高度、高阶资源集结、前沿设计理念、臻选材料工艺和全新产品系列”五大路径，发布并持续推进“灯塔战略”，逐步落地核心城市的标杆项目，助力房开业务销售额稳健增长。2025年前三季度，建发房产合同销售金额达到957.4亿元，同比增长12.6%，权益销售金额达到711.5亿，同比增长7.6%，</w:t>
            </w:r>
            <w:r>
              <w:rPr>
                <w:rFonts w:ascii="宋体" w:eastAsia="宋体" w:hAnsi="宋体" w:cs="宋体"/>
                <w:kern w:val="2"/>
                <w:sz w:val="24"/>
                <w:szCs w:val="24"/>
                <w:lang w:val="en-US"/>
                <w14:ligatures w14:val="standardContextual"/>
              </w:rPr>
              <w:t>整体销售规模在克而瑞</w:t>
            </w:r>
            <w:r>
              <w:rPr>
                <w:rFonts w:ascii="宋体" w:eastAsia="宋体" w:hAnsi="宋体" w:cs="宋体" w:hint="eastAsia"/>
                <w:kern w:val="2"/>
                <w:sz w:val="24"/>
                <w:szCs w:val="24"/>
                <w:lang w:val="en-US"/>
                <w14:ligatures w14:val="standardContextual"/>
              </w:rPr>
              <w:t>发布的地产</w:t>
            </w:r>
            <w:r>
              <w:rPr>
                <w:rFonts w:ascii="宋体" w:eastAsia="宋体" w:hAnsi="宋体" w:cs="宋体"/>
                <w:kern w:val="2"/>
                <w:sz w:val="24"/>
                <w:szCs w:val="24"/>
                <w:lang w:val="en-US"/>
                <w14:ligatures w14:val="standardContextual"/>
              </w:rPr>
              <w:t>行业全口径销售操盘榜单中</w:t>
            </w:r>
            <w:r>
              <w:rPr>
                <w:rFonts w:ascii="宋体" w:eastAsia="宋体" w:hAnsi="宋体" w:cs="宋体" w:hint="eastAsia"/>
                <w:kern w:val="2"/>
                <w:sz w:val="24"/>
                <w:szCs w:val="24"/>
                <w:lang w:val="en-US"/>
                <w14:ligatures w14:val="standardContextual"/>
              </w:rPr>
              <w:t>稳居</w:t>
            </w:r>
            <w:r>
              <w:rPr>
                <w:rFonts w:ascii="宋体" w:eastAsia="宋体" w:hAnsi="宋体" w:cs="宋体"/>
                <w:kern w:val="2"/>
                <w:sz w:val="24"/>
                <w:szCs w:val="24"/>
                <w:lang w:val="en-US"/>
                <w14:ligatures w14:val="standardContextual"/>
              </w:rPr>
              <w:t>第6</w:t>
            </w:r>
            <w:r>
              <w:rPr>
                <w:rFonts w:ascii="宋体" w:eastAsia="宋体" w:hAnsi="宋体" w:cs="宋体" w:hint="eastAsia"/>
                <w:kern w:val="2"/>
                <w:sz w:val="24"/>
                <w:szCs w:val="24"/>
                <w:lang w:val="en-US"/>
                <w14:ligatures w14:val="standardContextual"/>
              </w:rPr>
              <w:t>。</w:t>
            </w:r>
          </w:p>
          <w:p w14:paraId="6B892980" w14:textId="77777777" w:rsidR="00BB411D" w:rsidRDefault="00000000">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二季度以来，公司陆续在厦门、北京、上海落地灯塔项目，其中上海建发·海宸于9月底上市，凭借融合海派风格与沪上风景的独特产品设计与1.55超低容积率，项目实现热销，首批次认筹率达128%。后续公司将围绕“灯塔战略”陆续在杭州、成都等地落地标杆项目，进一步提高品牌美誉度。</w:t>
            </w:r>
          </w:p>
          <w:p w14:paraId="6AD3AD5D" w14:textId="77777777" w:rsidR="00BB411D" w:rsidRDefault="00BB411D" w:rsidP="002517A5">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7DDAE4C0" w14:textId="67A49ADA" w:rsidR="00BB411D" w:rsidRDefault="00000000">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8.联发集团前三季度销售增长进一步提速，背后的推动力是什么？</w:t>
            </w:r>
          </w:p>
          <w:p w14:paraId="12194E1F" w14:textId="77777777" w:rsidR="00BB411D" w:rsidRDefault="00000000">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答：2025年前三季度联发集团合同销售金额达到194.5亿</w:t>
            </w:r>
            <w:r>
              <w:rPr>
                <w:rFonts w:ascii="宋体" w:eastAsia="宋体" w:hAnsi="宋体" w:cs="宋体" w:hint="eastAsia"/>
                <w:kern w:val="2"/>
                <w:sz w:val="24"/>
                <w:szCs w:val="24"/>
                <w:lang w:val="en-US" w:bidi="ar-SA"/>
                <w14:ligatures w14:val="standardContextual"/>
              </w:rPr>
              <w:lastRenderedPageBreak/>
              <w:t>元，同比增长53.3%，权益销售金额达到128.4亿元，同比增长82.1%，销售增速较上半年进一步提升。</w:t>
            </w:r>
          </w:p>
          <w:p w14:paraId="47269E87" w14:textId="30D58CB1" w:rsidR="00BB411D" w:rsidRDefault="00000000" w:rsidP="002517A5">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当前房地产市场仍处于止跌回稳的进程中，为积极应对外部挑战，联发集团近两年逐步增加一、二线城市的土地储备，积极推进库存去化，专注打磨差异化产品竞争力。此外，联发集团内部持续推进数字化营销，实现流量的高效触达与转化，对房地产项目终端销售亦有一定正向促进作用。</w:t>
            </w:r>
          </w:p>
          <w:p w14:paraId="265089E0" w14:textId="77777777" w:rsidR="00B8527F" w:rsidRDefault="00B8527F" w:rsidP="002517A5">
            <w:pPr>
              <w:autoSpaceDE/>
              <w:autoSpaceDN/>
              <w:spacing w:line="360" w:lineRule="auto"/>
              <w:ind w:firstLine="480"/>
              <w:jc w:val="both"/>
              <w:rPr>
                <w:rFonts w:ascii="宋体" w:eastAsia="宋体" w:hAnsi="宋体" w:cs="宋体" w:hint="eastAsia"/>
                <w:kern w:val="2"/>
                <w:sz w:val="24"/>
                <w:szCs w:val="24"/>
                <w:lang w:val="en-US" w:bidi="ar-SA"/>
                <w14:ligatures w14:val="standardContextual"/>
              </w:rPr>
            </w:pPr>
          </w:p>
        </w:tc>
      </w:tr>
      <w:tr w:rsidR="00BB411D" w14:paraId="1A4E9C20" w14:textId="77777777">
        <w:trPr>
          <w:trHeight w:val="999"/>
          <w:jc w:val="center"/>
        </w:trPr>
        <w:tc>
          <w:tcPr>
            <w:tcW w:w="1961" w:type="dxa"/>
            <w:vAlign w:val="center"/>
          </w:tcPr>
          <w:p w14:paraId="0159A84A" w14:textId="77777777" w:rsidR="00BB411D"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lastRenderedPageBreak/>
              <w:t>关于本次活动是否涉及应披露重大信息的说明</w:t>
            </w:r>
          </w:p>
        </w:tc>
        <w:tc>
          <w:tcPr>
            <w:tcW w:w="6320" w:type="dxa"/>
            <w:vAlign w:val="center"/>
          </w:tcPr>
          <w:p w14:paraId="135A75CD" w14:textId="77777777" w:rsidR="00BB411D" w:rsidRDefault="00000000">
            <w:pPr>
              <w:pStyle w:val="TableParagraph"/>
              <w:spacing w:before="100" w:beforeAutospacing="1" w:line="360" w:lineRule="auto"/>
              <w:rPr>
                <w:rFonts w:ascii="宋体" w:eastAsia="宋体" w:hAnsi="宋体" w:cs="宋体" w:hint="eastAsia"/>
                <w:sz w:val="24"/>
                <w:szCs w:val="24"/>
              </w:rPr>
            </w:pPr>
            <w:r>
              <w:rPr>
                <w:rFonts w:ascii="宋体" w:eastAsia="宋体" w:hAnsi="宋体" w:cs="宋体" w:hint="eastAsia"/>
                <w:sz w:val="24"/>
                <w:szCs w:val="24"/>
              </w:rPr>
              <w:t>本次活动不涉及未公开披露的重大信息。</w:t>
            </w:r>
          </w:p>
        </w:tc>
      </w:tr>
      <w:tr w:rsidR="00BB411D" w14:paraId="2DB6E138" w14:textId="77777777">
        <w:trPr>
          <w:trHeight w:val="419"/>
          <w:jc w:val="center"/>
        </w:trPr>
        <w:tc>
          <w:tcPr>
            <w:tcW w:w="8281" w:type="dxa"/>
            <w:gridSpan w:val="2"/>
            <w:vAlign w:val="center"/>
          </w:tcPr>
          <w:p w14:paraId="3D870D90" w14:textId="77777777" w:rsidR="00BB411D" w:rsidRDefault="00000000">
            <w:pPr>
              <w:pStyle w:val="TableParagraph"/>
              <w:spacing w:before="100" w:beforeAutospacing="1" w:line="360" w:lineRule="auto"/>
              <w:jc w:val="center"/>
              <w:rPr>
                <w:rFonts w:ascii="宋体" w:eastAsia="宋体" w:hAnsi="宋体" w:cs="宋体" w:hint="eastAsia"/>
                <w:sz w:val="24"/>
                <w:szCs w:val="24"/>
                <w:lang w:val="en-US"/>
              </w:rPr>
            </w:pPr>
            <w:r>
              <w:rPr>
                <w:rFonts w:ascii="宋体" w:eastAsia="宋体" w:hAnsi="宋体" w:cs="宋体" w:hint="eastAsia"/>
                <w:b/>
                <w:bCs/>
                <w:sz w:val="24"/>
                <w:szCs w:val="24"/>
                <w:lang w:val="en-US"/>
              </w:rPr>
              <w:t>风险提示</w:t>
            </w:r>
          </w:p>
        </w:tc>
      </w:tr>
      <w:tr w:rsidR="00BB411D" w14:paraId="05DAD412" w14:textId="77777777">
        <w:trPr>
          <w:trHeight w:val="90"/>
          <w:jc w:val="center"/>
        </w:trPr>
        <w:tc>
          <w:tcPr>
            <w:tcW w:w="8281" w:type="dxa"/>
            <w:gridSpan w:val="2"/>
            <w:vAlign w:val="center"/>
          </w:tcPr>
          <w:p w14:paraId="318CBB6E" w14:textId="77777777" w:rsidR="00BB411D" w:rsidRDefault="00000000">
            <w:pPr>
              <w:pStyle w:val="TableParagraph"/>
              <w:spacing w:before="100" w:beforeAutospacing="1" w:line="360" w:lineRule="auto"/>
              <w:rPr>
                <w:rFonts w:ascii="宋体" w:eastAsia="宋体" w:hAnsi="宋体" w:cs="宋体" w:hint="eastAsia"/>
                <w:sz w:val="24"/>
                <w:szCs w:val="24"/>
              </w:rPr>
            </w:pPr>
            <w:r>
              <w:rPr>
                <w:rFonts w:ascii="宋体" w:eastAsia="宋体" w:hAnsi="宋体" w:cs="宋体" w:hint="eastAsia"/>
                <w:sz w:val="24"/>
                <w:szCs w:val="24"/>
              </w:rPr>
              <w:t>以上如涉及对行业的预测、公司发展战略规划等相关内容，不能视作公司或管理层对行业、公司发展或业绩的承诺和保证，敬请广大投资者注意投资风险。</w:t>
            </w:r>
          </w:p>
        </w:tc>
      </w:tr>
    </w:tbl>
    <w:p w14:paraId="259BBC04" w14:textId="77777777" w:rsidR="00BB411D" w:rsidRDefault="00BB411D">
      <w:pPr>
        <w:rPr>
          <w:rFonts w:ascii="宋体" w:eastAsia="宋体" w:hAnsi="宋体" w:cs="宋体" w:hint="eastAsia"/>
          <w:b/>
          <w:bCs/>
          <w:sz w:val="24"/>
          <w:szCs w:val="24"/>
          <w:lang w:val="en-US"/>
        </w:rPr>
      </w:pPr>
    </w:p>
    <w:p w14:paraId="2510AE09" w14:textId="77777777" w:rsidR="00BB411D" w:rsidRDefault="00BB411D">
      <w:pPr>
        <w:widowControl/>
        <w:autoSpaceDE/>
        <w:autoSpaceDN/>
        <w:rPr>
          <w:rFonts w:ascii="宋体" w:eastAsia="宋体" w:hAnsi="宋体" w:cs="宋体" w:hint="eastAsia"/>
          <w:b/>
          <w:bCs/>
          <w:sz w:val="24"/>
          <w:szCs w:val="24"/>
          <w:lang w:val="en-US"/>
        </w:rPr>
      </w:pPr>
    </w:p>
    <w:p w14:paraId="5922C706" w14:textId="77777777" w:rsidR="00BB411D" w:rsidRDefault="00000000">
      <w:pPr>
        <w:rPr>
          <w:rFonts w:ascii="宋体" w:eastAsia="宋体" w:hAnsi="宋体" w:cs="宋体" w:hint="eastAsia"/>
          <w:b/>
          <w:bCs/>
          <w:sz w:val="24"/>
          <w:szCs w:val="24"/>
          <w:lang w:val="en-US"/>
        </w:rPr>
      </w:pPr>
      <w:r>
        <w:rPr>
          <w:rFonts w:ascii="宋体" w:eastAsia="宋体" w:hAnsi="宋体" w:cs="宋体" w:hint="eastAsia"/>
          <w:b/>
          <w:bCs/>
          <w:sz w:val="24"/>
          <w:szCs w:val="24"/>
          <w:lang w:val="en-US"/>
        </w:rPr>
        <w:t>附表：主要机构名单</w:t>
      </w:r>
    </w:p>
    <w:p w14:paraId="6CDC462E" w14:textId="77777777" w:rsidR="00BB411D" w:rsidRDefault="00BB411D">
      <w:pPr>
        <w:rPr>
          <w:rFonts w:ascii="宋体" w:eastAsia="宋体" w:hAnsi="宋体" w:cs="宋体" w:hint="eastAsia"/>
          <w:b/>
          <w:bCs/>
          <w:sz w:val="24"/>
          <w:szCs w:val="24"/>
          <w:lang w:val="en-US"/>
        </w:rPr>
      </w:pPr>
    </w:p>
    <w:tbl>
      <w:tblPr>
        <w:tblW w:w="8339" w:type="dxa"/>
        <w:tblInd w:w="93" w:type="dxa"/>
        <w:tblLayout w:type="fixed"/>
        <w:tblLook w:val="04A0" w:firstRow="1" w:lastRow="0" w:firstColumn="1" w:lastColumn="0" w:noHBand="0" w:noVBand="1"/>
      </w:tblPr>
      <w:tblGrid>
        <w:gridCol w:w="3430"/>
        <w:gridCol w:w="4909"/>
      </w:tblGrid>
      <w:tr w:rsidR="00BB411D" w14:paraId="0AE8DFCC" w14:textId="77777777">
        <w:trPr>
          <w:trHeight w:val="299"/>
        </w:trPr>
        <w:tc>
          <w:tcPr>
            <w:tcW w:w="343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D735DAD" w14:textId="77777777" w:rsidR="00BB411D" w:rsidRDefault="00000000">
            <w:pPr>
              <w:widowControl/>
              <w:jc w:val="center"/>
              <w:textAlignment w:val="center"/>
              <w:rPr>
                <w:rFonts w:ascii="宋体" w:eastAsia="宋体" w:hAnsi="宋体" w:cs="宋体" w:hint="eastAsia"/>
                <w:b/>
                <w:bCs/>
                <w:color w:val="000000"/>
              </w:rPr>
            </w:pPr>
            <w:r>
              <w:rPr>
                <w:rFonts w:ascii="宋体" w:eastAsia="宋体" w:hAnsi="宋体" w:cs="宋体" w:hint="eastAsia"/>
                <w:b/>
                <w:bCs/>
                <w:color w:val="000000"/>
                <w:lang w:val="en-US" w:bidi="ar"/>
              </w:rPr>
              <w:t>序号</w:t>
            </w:r>
          </w:p>
        </w:tc>
        <w:tc>
          <w:tcPr>
            <w:tcW w:w="49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334DDC" w14:textId="77777777" w:rsidR="00BB411D" w:rsidRDefault="00000000">
            <w:pPr>
              <w:widowControl/>
              <w:jc w:val="center"/>
              <w:textAlignment w:val="center"/>
              <w:rPr>
                <w:rFonts w:ascii="宋体" w:eastAsia="宋体" w:hAnsi="宋体" w:cs="宋体" w:hint="eastAsia"/>
                <w:b/>
                <w:bCs/>
                <w:color w:val="000000"/>
              </w:rPr>
            </w:pPr>
            <w:r>
              <w:rPr>
                <w:rFonts w:ascii="宋体" w:eastAsia="宋体" w:hAnsi="宋体" w:cs="宋体" w:hint="eastAsia"/>
                <w:b/>
                <w:bCs/>
                <w:color w:val="000000"/>
                <w:lang w:val="en-US" w:bidi="ar"/>
              </w:rPr>
              <w:t>机构名称</w:t>
            </w:r>
          </w:p>
        </w:tc>
      </w:tr>
      <w:tr w:rsidR="00BB411D" w14:paraId="66C1A6B1"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5E13AFF2"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1</w:t>
            </w:r>
          </w:p>
        </w:tc>
        <w:tc>
          <w:tcPr>
            <w:tcW w:w="4909" w:type="dxa"/>
            <w:tcBorders>
              <w:top w:val="single" w:sz="4" w:space="0" w:color="000000"/>
              <w:left w:val="single" w:sz="4" w:space="0" w:color="000000"/>
              <w:bottom w:val="single" w:sz="4" w:space="0" w:color="000000"/>
              <w:right w:val="single" w:sz="4" w:space="0" w:color="000000"/>
            </w:tcBorders>
            <w:vAlign w:val="center"/>
          </w:tcPr>
          <w:p w14:paraId="6828A44A" w14:textId="6DE3836C" w:rsidR="00BB411D" w:rsidRDefault="00F739A5">
            <w:pPr>
              <w:widowControl/>
              <w:jc w:val="center"/>
              <w:textAlignment w:val="center"/>
              <w:rPr>
                <w:rFonts w:asciiTheme="minorEastAsia" w:eastAsiaTheme="minorEastAsia" w:hAnsiTheme="minorEastAsia" w:cs="宋体" w:hint="eastAsia"/>
                <w:color w:val="000000"/>
                <w:lang w:val="en-US"/>
              </w:rPr>
            </w:pPr>
            <w:r>
              <w:rPr>
                <w:rFonts w:asciiTheme="minorEastAsia" w:eastAsiaTheme="minorEastAsia" w:hAnsiTheme="minorEastAsia" w:hint="eastAsia"/>
                <w:color w:val="000000"/>
              </w:rPr>
              <w:t>南方基金</w:t>
            </w:r>
          </w:p>
        </w:tc>
      </w:tr>
      <w:tr w:rsidR="00BB411D" w14:paraId="7A3E3C9F"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4A14D48"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2</w:t>
            </w:r>
          </w:p>
        </w:tc>
        <w:tc>
          <w:tcPr>
            <w:tcW w:w="4909" w:type="dxa"/>
            <w:tcBorders>
              <w:top w:val="single" w:sz="4" w:space="0" w:color="000000"/>
              <w:left w:val="single" w:sz="4" w:space="0" w:color="000000"/>
              <w:bottom w:val="single" w:sz="4" w:space="0" w:color="000000"/>
              <w:right w:val="single" w:sz="4" w:space="0" w:color="000000"/>
            </w:tcBorders>
            <w:vAlign w:val="center"/>
          </w:tcPr>
          <w:p w14:paraId="0D4E8337" w14:textId="4C35BECB" w:rsidR="00BB411D" w:rsidRDefault="004C75E1">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海富通基金</w:t>
            </w:r>
          </w:p>
        </w:tc>
      </w:tr>
      <w:tr w:rsidR="00BB411D" w14:paraId="0E7EAC49"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D13B95F"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3</w:t>
            </w:r>
          </w:p>
        </w:tc>
        <w:tc>
          <w:tcPr>
            <w:tcW w:w="4909" w:type="dxa"/>
            <w:tcBorders>
              <w:top w:val="single" w:sz="4" w:space="0" w:color="000000"/>
              <w:left w:val="single" w:sz="4" w:space="0" w:color="000000"/>
              <w:bottom w:val="single" w:sz="4" w:space="0" w:color="000000"/>
              <w:right w:val="single" w:sz="4" w:space="0" w:color="000000"/>
            </w:tcBorders>
            <w:vAlign w:val="bottom"/>
          </w:tcPr>
          <w:p w14:paraId="001B5A9C" w14:textId="44E555A0" w:rsidR="00BB411D" w:rsidRDefault="004C75E1">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国联民生证券</w:t>
            </w:r>
          </w:p>
        </w:tc>
      </w:tr>
      <w:tr w:rsidR="00BB411D" w14:paraId="7637A0B2"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15385F37"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4</w:t>
            </w:r>
          </w:p>
        </w:tc>
        <w:tc>
          <w:tcPr>
            <w:tcW w:w="4909" w:type="dxa"/>
            <w:tcBorders>
              <w:top w:val="single" w:sz="4" w:space="0" w:color="000000"/>
              <w:left w:val="single" w:sz="4" w:space="0" w:color="000000"/>
              <w:bottom w:val="single" w:sz="4" w:space="0" w:color="000000"/>
              <w:right w:val="single" w:sz="4" w:space="0" w:color="000000"/>
            </w:tcBorders>
            <w:vAlign w:val="bottom"/>
          </w:tcPr>
          <w:p w14:paraId="5E33776C"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华泰保兴基金</w:t>
            </w:r>
          </w:p>
        </w:tc>
      </w:tr>
      <w:tr w:rsidR="00BB411D" w14:paraId="6258195E"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5A789324"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5</w:t>
            </w:r>
          </w:p>
        </w:tc>
        <w:tc>
          <w:tcPr>
            <w:tcW w:w="4909" w:type="dxa"/>
            <w:tcBorders>
              <w:top w:val="single" w:sz="4" w:space="0" w:color="000000"/>
              <w:left w:val="single" w:sz="4" w:space="0" w:color="000000"/>
              <w:bottom w:val="single" w:sz="4" w:space="0" w:color="000000"/>
              <w:right w:val="single" w:sz="4" w:space="0" w:color="000000"/>
            </w:tcBorders>
            <w:vAlign w:val="bottom"/>
          </w:tcPr>
          <w:p w14:paraId="2567FD21" w14:textId="77777777" w:rsidR="00BB411D" w:rsidRDefault="00000000">
            <w:pPr>
              <w:widowControl/>
              <w:jc w:val="center"/>
              <w:textAlignment w:val="center"/>
              <w:rPr>
                <w:rFonts w:asciiTheme="minorEastAsia" w:eastAsiaTheme="minorEastAsia" w:hAnsiTheme="minorEastAsia" w:cs="宋体" w:hint="eastAsia"/>
                <w:color w:val="000000"/>
              </w:rPr>
            </w:pPr>
            <w:r>
              <w:rPr>
                <w:rFonts w:asciiTheme="minorEastAsia" w:eastAsiaTheme="minorEastAsia" w:hAnsiTheme="minorEastAsia" w:hint="eastAsia"/>
                <w:color w:val="000000"/>
              </w:rPr>
              <w:t>汇丰晋信基金</w:t>
            </w:r>
          </w:p>
        </w:tc>
      </w:tr>
      <w:tr w:rsidR="00BB411D" w14:paraId="60743B22"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9D74E47"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6</w:t>
            </w:r>
          </w:p>
        </w:tc>
        <w:tc>
          <w:tcPr>
            <w:tcW w:w="4909" w:type="dxa"/>
            <w:tcBorders>
              <w:top w:val="single" w:sz="4" w:space="0" w:color="000000"/>
              <w:left w:val="single" w:sz="4" w:space="0" w:color="000000"/>
              <w:bottom w:val="single" w:sz="4" w:space="0" w:color="000000"/>
              <w:right w:val="single" w:sz="4" w:space="0" w:color="000000"/>
            </w:tcBorders>
            <w:vAlign w:val="bottom"/>
          </w:tcPr>
          <w:p w14:paraId="04BAF735"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乐雪资本</w:t>
            </w:r>
          </w:p>
        </w:tc>
      </w:tr>
      <w:tr w:rsidR="00BB411D" w14:paraId="20414B71"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2877672"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7</w:t>
            </w:r>
          </w:p>
        </w:tc>
        <w:tc>
          <w:tcPr>
            <w:tcW w:w="4909" w:type="dxa"/>
            <w:tcBorders>
              <w:top w:val="single" w:sz="4" w:space="0" w:color="000000"/>
              <w:left w:val="single" w:sz="4" w:space="0" w:color="000000"/>
              <w:bottom w:val="single" w:sz="4" w:space="0" w:color="000000"/>
              <w:right w:val="single" w:sz="4" w:space="0" w:color="000000"/>
            </w:tcBorders>
            <w:vAlign w:val="bottom"/>
          </w:tcPr>
          <w:p w14:paraId="2D0EB42D" w14:textId="2D12B9D6" w:rsidR="00BB411D" w:rsidRDefault="00F739A5">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淳厚基金</w:t>
            </w:r>
          </w:p>
        </w:tc>
      </w:tr>
      <w:tr w:rsidR="00BB411D" w14:paraId="65216C6E"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8F5367B"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8</w:t>
            </w:r>
          </w:p>
        </w:tc>
        <w:tc>
          <w:tcPr>
            <w:tcW w:w="4909" w:type="dxa"/>
            <w:tcBorders>
              <w:top w:val="single" w:sz="4" w:space="0" w:color="000000"/>
              <w:left w:val="single" w:sz="4" w:space="0" w:color="000000"/>
              <w:bottom w:val="single" w:sz="4" w:space="0" w:color="000000"/>
              <w:right w:val="single" w:sz="4" w:space="0" w:color="000000"/>
            </w:tcBorders>
            <w:vAlign w:val="center"/>
          </w:tcPr>
          <w:p w14:paraId="5A748D11"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太保资产</w:t>
            </w:r>
          </w:p>
        </w:tc>
      </w:tr>
      <w:tr w:rsidR="00BB411D" w14:paraId="1BDE2CAF"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5B9DF547"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9</w:t>
            </w:r>
          </w:p>
        </w:tc>
        <w:tc>
          <w:tcPr>
            <w:tcW w:w="4909" w:type="dxa"/>
            <w:tcBorders>
              <w:top w:val="single" w:sz="4" w:space="0" w:color="000000"/>
              <w:left w:val="single" w:sz="4" w:space="0" w:color="000000"/>
              <w:bottom w:val="single" w:sz="4" w:space="0" w:color="000000"/>
              <w:right w:val="single" w:sz="4" w:space="0" w:color="000000"/>
            </w:tcBorders>
            <w:vAlign w:val="bottom"/>
          </w:tcPr>
          <w:p w14:paraId="69A91EE7" w14:textId="77777777" w:rsidR="00BB411D" w:rsidRDefault="00000000">
            <w:pPr>
              <w:widowControl/>
              <w:jc w:val="center"/>
              <w:textAlignment w:val="center"/>
              <w:rPr>
                <w:rFonts w:asciiTheme="minorEastAsia" w:eastAsiaTheme="minorEastAsia" w:hAnsiTheme="minorEastAsia" w:cs="宋体" w:hint="eastAsia"/>
                <w:color w:val="000000"/>
              </w:rPr>
            </w:pPr>
            <w:r>
              <w:rPr>
                <w:rFonts w:asciiTheme="minorEastAsia" w:eastAsiaTheme="minorEastAsia" w:hAnsiTheme="minorEastAsia" w:hint="eastAsia"/>
                <w:color w:val="000000"/>
              </w:rPr>
              <w:t>天弘基金</w:t>
            </w:r>
          </w:p>
        </w:tc>
      </w:tr>
      <w:tr w:rsidR="00BB411D" w14:paraId="51061E97"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3429711E"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10</w:t>
            </w:r>
          </w:p>
        </w:tc>
        <w:tc>
          <w:tcPr>
            <w:tcW w:w="4909" w:type="dxa"/>
            <w:tcBorders>
              <w:top w:val="single" w:sz="4" w:space="0" w:color="000000"/>
              <w:left w:val="single" w:sz="4" w:space="0" w:color="000000"/>
              <w:bottom w:val="single" w:sz="4" w:space="0" w:color="000000"/>
              <w:right w:val="single" w:sz="4" w:space="0" w:color="000000"/>
            </w:tcBorders>
            <w:vAlign w:val="bottom"/>
          </w:tcPr>
          <w:p w14:paraId="6410306C" w14:textId="77777777" w:rsidR="00BB411D" w:rsidRDefault="00000000">
            <w:pPr>
              <w:widowControl/>
              <w:jc w:val="center"/>
              <w:textAlignment w:val="bottom"/>
              <w:rPr>
                <w:rFonts w:asciiTheme="minorEastAsia" w:eastAsiaTheme="minorEastAsia" w:hAnsiTheme="minorEastAsia" w:cs="宋体" w:hint="eastAsia"/>
                <w:color w:val="000000"/>
              </w:rPr>
            </w:pPr>
            <w:r>
              <w:rPr>
                <w:rFonts w:asciiTheme="minorEastAsia" w:eastAsiaTheme="minorEastAsia" w:hAnsiTheme="minorEastAsia" w:hint="eastAsia"/>
                <w:color w:val="000000"/>
              </w:rPr>
              <w:t>兴全基金</w:t>
            </w:r>
          </w:p>
        </w:tc>
      </w:tr>
    </w:tbl>
    <w:p w14:paraId="68C26DE9" w14:textId="77777777" w:rsidR="00BB411D" w:rsidRDefault="00BB411D">
      <w:pPr>
        <w:rPr>
          <w:rFonts w:ascii="宋体" w:eastAsia="宋体" w:hAnsi="宋体" w:cs="宋体" w:hint="eastAsia"/>
          <w:b/>
          <w:bCs/>
          <w:sz w:val="24"/>
          <w:szCs w:val="24"/>
          <w:lang w:val="en-US"/>
        </w:rPr>
      </w:pPr>
    </w:p>
    <w:sectPr w:rsidR="00BB411D">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A93A" w14:textId="77777777" w:rsidR="006A1714" w:rsidRDefault="006A1714">
      <w:pPr>
        <w:rPr>
          <w:rFonts w:hint="eastAsia"/>
        </w:rPr>
      </w:pPr>
      <w:r>
        <w:separator/>
      </w:r>
    </w:p>
  </w:endnote>
  <w:endnote w:type="continuationSeparator" w:id="0">
    <w:p w14:paraId="10E01E44" w14:textId="77777777" w:rsidR="006A1714" w:rsidRDefault="006A171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985512"/>
    </w:sdtPr>
    <w:sdtContent>
      <w:p w14:paraId="49DB1319" w14:textId="77777777" w:rsidR="00BB411D" w:rsidRDefault="00000000">
        <w:pPr>
          <w:pStyle w:val="a8"/>
          <w:jc w:val="center"/>
          <w:rPr>
            <w:rFonts w:hint="eastAsia"/>
          </w:rPr>
        </w:pPr>
        <w:r>
          <w:fldChar w:fldCharType="begin"/>
        </w:r>
        <w:r>
          <w:instrText>PAGE   \* MERGEFORMAT</w:instrText>
        </w:r>
        <w:r>
          <w:fldChar w:fldCharType="separate"/>
        </w:r>
        <w:r>
          <w:t>2</w:t>
        </w:r>
        <w:r>
          <w:fldChar w:fldCharType="end"/>
        </w:r>
      </w:p>
    </w:sdtContent>
  </w:sdt>
  <w:p w14:paraId="254902B2" w14:textId="77777777" w:rsidR="00BB411D" w:rsidRDefault="00BB411D">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C01BE" w14:textId="77777777" w:rsidR="006A1714" w:rsidRDefault="006A1714">
      <w:pPr>
        <w:rPr>
          <w:rFonts w:hint="eastAsia"/>
        </w:rPr>
      </w:pPr>
      <w:r>
        <w:separator/>
      </w:r>
    </w:p>
  </w:footnote>
  <w:footnote w:type="continuationSeparator" w:id="0">
    <w:p w14:paraId="5E786E78" w14:textId="77777777" w:rsidR="006A1714" w:rsidRDefault="006A171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71358"/>
    <w:multiLevelType w:val="singleLevel"/>
    <w:tmpl w:val="68F71358"/>
    <w:lvl w:ilvl="0">
      <w:start w:val="4"/>
      <w:numFmt w:val="decimal"/>
      <w:lvlText w:val="%1."/>
      <w:lvlJc w:val="left"/>
      <w:pPr>
        <w:tabs>
          <w:tab w:val="left" w:pos="312"/>
        </w:tabs>
      </w:pPr>
    </w:lvl>
  </w:abstractNum>
  <w:num w:numId="1" w16cid:durableId="48805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1"/>
    <w:rsid w:val="00010492"/>
    <w:rsid w:val="00014F6C"/>
    <w:rsid w:val="0001603C"/>
    <w:rsid w:val="00020DB6"/>
    <w:rsid w:val="0004574E"/>
    <w:rsid w:val="00046AE9"/>
    <w:rsid w:val="00053DDE"/>
    <w:rsid w:val="00060525"/>
    <w:rsid w:val="00061767"/>
    <w:rsid w:val="000631D7"/>
    <w:rsid w:val="00067D39"/>
    <w:rsid w:val="0008002E"/>
    <w:rsid w:val="0008328B"/>
    <w:rsid w:val="00091113"/>
    <w:rsid w:val="00096A41"/>
    <w:rsid w:val="000B3B67"/>
    <w:rsid w:val="000B419B"/>
    <w:rsid w:val="000B69B7"/>
    <w:rsid w:val="000E051D"/>
    <w:rsid w:val="000E47E6"/>
    <w:rsid w:val="000F3878"/>
    <w:rsid w:val="00103187"/>
    <w:rsid w:val="0012745D"/>
    <w:rsid w:val="0012788F"/>
    <w:rsid w:val="00133049"/>
    <w:rsid w:val="001519ED"/>
    <w:rsid w:val="00164A6C"/>
    <w:rsid w:val="001768FA"/>
    <w:rsid w:val="00180CF8"/>
    <w:rsid w:val="00186AF1"/>
    <w:rsid w:val="001914F4"/>
    <w:rsid w:val="0019534C"/>
    <w:rsid w:val="001A25E6"/>
    <w:rsid w:val="001A7E85"/>
    <w:rsid w:val="001C188E"/>
    <w:rsid w:val="001D07B1"/>
    <w:rsid w:val="001D7D62"/>
    <w:rsid w:val="001E01C7"/>
    <w:rsid w:val="001E141B"/>
    <w:rsid w:val="001E73F4"/>
    <w:rsid w:val="001F798A"/>
    <w:rsid w:val="00205F09"/>
    <w:rsid w:val="00210D6E"/>
    <w:rsid w:val="00235AB3"/>
    <w:rsid w:val="00237D2B"/>
    <w:rsid w:val="002413EB"/>
    <w:rsid w:val="002440DF"/>
    <w:rsid w:val="002517A5"/>
    <w:rsid w:val="00251E5A"/>
    <w:rsid w:val="002603AB"/>
    <w:rsid w:val="00264984"/>
    <w:rsid w:val="00267B05"/>
    <w:rsid w:val="00272904"/>
    <w:rsid w:val="00275DA1"/>
    <w:rsid w:val="002770C8"/>
    <w:rsid w:val="00283E20"/>
    <w:rsid w:val="0029054A"/>
    <w:rsid w:val="00293EB9"/>
    <w:rsid w:val="002A1600"/>
    <w:rsid w:val="002C2865"/>
    <w:rsid w:val="002C6DAB"/>
    <w:rsid w:val="002D7999"/>
    <w:rsid w:val="002E6A2A"/>
    <w:rsid w:val="002E7260"/>
    <w:rsid w:val="002F3917"/>
    <w:rsid w:val="002F6FB7"/>
    <w:rsid w:val="003077C8"/>
    <w:rsid w:val="00310B59"/>
    <w:rsid w:val="00312F5A"/>
    <w:rsid w:val="0035345E"/>
    <w:rsid w:val="00356668"/>
    <w:rsid w:val="00356776"/>
    <w:rsid w:val="00397389"/>
    <w:rsid w:val="003974C8"/>
    <w:rsid w:val="003A220C"/>
    <w:rsid w:val="003B74C5"/>
    <w:rsid w:val="003C5226"/>
    <w:rsid w:val="003F0FA2"/>
    <w:rsid w:val="00402ECB"/>
    <w:rsid w:val="004113FE"/>
    <w:rsid w:val="004152E8"/>
    <w:rsid w:val="00416D06"/>
    <w:rsid w:val="00427ED6"/>
    <w:rsid w:val="0044155E"/>
    <w:rsid w:val="004429F8"/>
    <w:rsid w:val="004439B7"/>
    <w:rsid w:val="00456603"/>
    <w:rsid w:val="004720C6"/>
    <w:rsid w:val="00475C23"/>
    <w:rsid w:val="0047612C"/>
    <w:rsid w:val="00492859"/>
    <w:rsid w:val="004C0D52"/>
    <w:rsid w:val="004C75E1"/>
    <w:rsid w:val="004D0967"/>
    <w:rsid w:val="004E7F24"/>
    <w:rsid w:val="00506B46"/>
    <w:rsid w:val="00515247"/>
    <w:rsid w:val="00550B7C"/>
    <w:rsid w:val="00555B2F"/>
    <w:rsid w:val="005624B8"/>
    <w:rsid w:val="00564474"/>
    <w:rsid w:val="00570420"/>
    <w:rsid w:val="00570F1A"/>
    <w:rsid w:val="00572767"/>
    <w:rsid w:val="00585A69"/>
    <w:rsid w:val="00586491"/>
    <w:rsid w:val="005B21F5"/>
    <w:rsid w:val="005B6772"/>
    <w:rsid w:val="005B6E87"/>
    <w:rsid w:val="005C60C7"/>
    <w:rsid w:val="005C7350"/>
    <w:rsid w:val="005D4CEC"/>
    <w:rsid w:val="005D6DE1"/>
    <w:rsid w:val="005E2AE8"/>
    <w:rsid w:val="005E7CC0"/>
    <w:rsid w:val="005F6E16"/>
    <w:rsid w:val="00603011"/>
    <w:rsid w:val="006045BF"/>
    <w:rsid w:val="00605C6A"/>
    <w:rsid w:val="00630C2B"/>
    <w:rsid w:val="006420FE"/>
    <w:rsid w:val="00644CD5"/>
    <w:rsid w:val="006531CE"/>
    <w:rsid w:val="0065370D"/>
    <w:rsid w:val="00663655"/>
    <w:rsid w:val="00666B5F"/>
    <w:rsid w:val="006715BD"/>
    <w:rsid w:val="0068529C"/>
    <w:rsid w:val="006861A5"/>
    <w:rsid w:val="006966B2"/>
    <w:rsid w:val="00697613"/>
    <w:rsid w:val="006A1714"/>
    <w:rsid w:val="006A2610"/>
    <w:rsid w:val="006B5CB7"/>
    <w:rsid w:val="006C3413"/>
    <w:rsid w:val="006D5A0A"/>
    <w:rsid w:val="006F2462"/>
    <w:rsid w:val="006F4569"/>
    <w:rsid w:val="006F7EBA"/>
    <w:rsid w:val="00712715"/>
    <w:rsid w:val="0071661D"/>
    <w:rsid w:val="00736089"/>
    <w:rsid w:val="007362D5"/>
    <w:rsid w:val="0074539D"/>
    <w:rsid w:val="00753384"/>
    <w:rsid w:val="007540C4"/>
    <w:rsid w:val="0078041F"/>
    <w:rsid w:val="00785958"/>
    <w:rsid w:val="0078618A"/>
    <w:rsid w:val="007978A4"/>
    <w:rsid w:val="007A131A"/>
    <w:rsid w:val="007A179F"/>
    <w:rsid w:val="007A4C4E"/>
    <w:rsid w:val="007D167A"/>
    <w:rsid w:val="007D66CD"/>
    <w:rsid w:val="00801E1C"/>
    <w:rsid w:val="00804038"/>
    <w:rsid w:val="008063C1"/>
    <w:rsid w:val="00833819"/>
    <w:rsid w:val="00841A24"/>
    <w:rsid w:val="008451EE"/>
    <w:rsid w:val="008530F3"/>
    <w:rsid w:val="00855DEF"/>
    <w:rsid w:val="0085727B"/>
    <w:rsid w:val="00866B6B"/>
    <w:rsid w:val="008A5CF8"/>
    <w:rsid w:val="008C33B1"/>
    <w:rsid w:val="008C4759"/>
    <w:rsid w:val="008D5F0B"/>
    <w:rsid w:val="008F37DC"/>
    <w:rsid w:val="008F52A5"/>
    <w:rsid w:val="008F54FD"/>
    <w:rsid w:val="008F796C"/>
    <w:rsid w:val="00906EDA"/>
    <w:rsid w:val="009110D6"/>
    <w:rsid w:val="00922174"/>
    <w:rsid w:val="00924382"/>
    <w:rsid w:val="0092517F"/>
    <w:rsid w:val="00926828"/>
    <w:rsid w:val="009329D0"/>
    <w:rsid w:val="0095750D"/>
    <w:rsid w:val="00957D44"/>
    <w:rsid w:val="00960B94"/>
    <w:rsid w:val="00967E1E"/>
    <w:rsid w:val="0097117B"/>
    <w:rsid w:val="00980480"/>
    <w:rsid w:val="00991315"/>
    <w:rsid w:val="00993BEE"/>
    <w:rsid w:val="00995182"/>
    <w:rsid w:val="009A39AE"/>
    <w:rsid w:val="009B199B"/>
    <w:rsid w:val="009C105B"/>
    <w:rsid w:val="009C3D53"/>
    <w:rsid w:val="009E0551"/>
    <w:rsid w:val="009F59D0"/>
    <w:rsid w:val="00A05EF7"/>
    <w:rsid w:val="00A3010E"/>
    <w:rsid w:val="00A33439"/>
    <w:rsid w:val="00A477D8"/>
    <w:rsid w:val="00A52A51"/>
    <w:rsid w:val="00A71181"/>
    <w:rsid w:val="00A73FB7"/>
    <w:rsid w:val="00AA4E77"/>
    <w:rsid w:val="00AA738C"/>
    <w:rsid w:val="00AC0D8B"/>
    <w:rsid w:val="00AC3097"/>
    <w:rsid w:val="00AC5A46"/>
    <w:rsid w:val="00AE30E8"/>
    <w:rsid w:val="00AF0C76"/>
    <w:rsid w:val="00AF53BB"/>
    <w:rsid w:val="00B14C80"/>
    <w:rsid w:val="00B172CF"/>
    <w:rsid w:val="00B42151"/>
    <w:rsid w:val="00B47FB1"/>
    <w:rsid w:val="00B5143F"/>
    <w:rsid w:val="00B5209F"/>
    <w:rsid w:val="00B66A63"/>
    <w:rsid w:val="00B74429"/>
    <w:rsid w:val="00B81501"/>
    <w:rsid w:val="00B8368B"/>
    <w:rsid w:val="00B8527F"/>
    <w:rsid w:val="00BA7C14"/>
    <w:rsid w:val="00BB077A"/>
    <w:rsid w:val="00BB26E0"/>
    <w:rsid w:val="00BB411D"/>
    <w:rsid w:val="00BB770E"/>
    <w:rsid w:val="00BC2986"/>
    <w:rsid w:val="00BC7DEB"/>
    <w:rsid w:val="00BD14EF"/>
    <w:rsid w:val="00BD2D5C"/>
    <w:rsid w:val="00BE4571"/>
    <w:rsid w:val="00BF03C9"/>
    <w:rsid w:val="00BF4465"/>
    <w:rsid w:val="00BF75F1"/>
    <w:rsid w:val="00C0305C"/>
    <w:rsid w:val="00C045A2"/>
    <w:rsid w:val="00C418AB"/>
    <w:rsid w:val="00CB259D"/>
    <w:rsid w:val="00CB72BC"/>
    <w:rsid w:val="00CC47DD"/>
    <w:rsid w:val="00D0144C"/>
    <w:rsid w:val="00D03E4D"/>
    <w:rsid w:val="00D04C38"/>
    <w:rsid w:val="00D17272"/>
    <w:rsid w:val="00D17A2E"/>
    <w:rsid w:val="00D32195"/>
    <w:rsid w:val="00D321CB"/>
    <w:rsid w:val="00D348C5"/>
    <w:rsid w:val="00D35E79"/>
    <w:rsid w:val="00D541E1"/>
    <w:rsid w:val="00D61A8D"/>
    <w:rsid w:val="00D71589"/>
    <w:rsid w:val="00D806E0"/>
    <w:rsid w:val="00D82632"/>
    <w:rsid w:val="00D83DB6"/>
    <w:rsid w:val="00D8532A"/>
    <w:rsid w:val="00D87DF5"/>
    <w:rsid w:val="00DA573F"/>
    <w:rsid w:val="00DA615B"/>
    <w:rsid w:val="00DB1D01"/>
    <w:rsid w:val="00DC155B"/>
    <w:rsid w:val="00DC35F6"/>
    <w:rsid w:val="00DC4CFB"/>
    <w:rsid w:val="00DD0B95"/>
    <w:rsid w:val="00DD709F"/>
    <w:rsid w:val="00DE15E2"/>
    <w:rsid w:val="00DF0729"/>
    <w:rsid w:val="00E001E3"/>
    <w:rsid w:val="00E26F20"/>
    <w:rsid w:val="00E409FE"/>
    <w:rsid w:val="00E40B9E"/>
    <w:rsid w:val="00E46B0B"/>
    <w:rsid w:val="00E576A3"/>
    <w:rsid w:val="00E63EBE"/>
    <w:rsid w:val="00E643D3"/>
    <w:rsid w:val="00E912D2"/>
    <w:rsid w:val="00E93E51"/>
    <w:rsid w:val="00E95024"/>
    <w:rsid w:val="00EB48FE"/>
    <w:rsid w:val="00EB617C"/>
    <w:rsid w:val="00ED4054"/>
    <w:rsid w:val="00ED4917"/>
    <w:rsid w:val="00ED50DF"/>
    <w:rsid w:val="00EE2053"/>
    <w:rsid w:val="00EF12C5"/>
    <w:rsid w:val="00F113A1"/>
    <w:rsid w:val="00F41A80"/>
    <w:rsid w:val="00F423C5"/>
    <w:rsid w:val="00F445C1"/>
    <w:rsid w:val="00F448F3"/>
    <w:rsid w:val="00F570DF"/>
    <w:rsid w:val="00F6092C"/>
    <w:rsid w:val="00F60E0E"/>
    <w:rsid w:val="00F739A5"/>
    <w:rsid w:val="00F856C1"/>
    <w:rsid w:val="00F9035F"/>
    <w:rsid w:val="00FA244A"/>
    <w:rsid w:val="00FA569E"/>
    <w:rsid w:val="00FA5DAC"/>
    <w:rsid w:val="00FE272B"/>
    <w:rsid w:val="00FE643D"/>
    <w:rsid w:val="00FF049D"/>
    <w:rsid w:val="013F0B6D"/>
    <w:rsid w:val="016407A7"/>
    <w:rsid w:val="01710365"/>
    <w:rsid w:val="01EC0DE3"/>
    <w:rsid w:val="023623DF"/>
    <w:rsid w:val="02575B12"/>
    <w:rsid w:val="025F4662"/>
    <w:rsid w:val="03EB6F3B"/>
    <w:rsid w:val="04363AE8"/>
    <w:rsid w:val="04A51736"/>
    <w:rsid w:val="04E83035"/>
    <w:rsid w:val="05467D5B"/>
    <w:rsid w:val="0667442D"/>
    <w:rsid w:val="06CE1DB6"/>
    <w:rsid w:val="07B23486"/>
    <w:rsid w:val="08955DE8"/>
    <w:rsid w:val="08D062B9"/>
    <w:rsid w:val="08DA0EE6"/>
    <w:rsid w:val="096C2D7F"/>
    <w:rsid w:val="09D750A5"/>
    <w:rsid w:val="0A3208AE"/>
    <w:rsid w:val="0BCD4D32"/>
    <w:rsid w:val="0CEA5470"/>
    <w:rsid w:val="0D533D0D"/>
    <w:rsid w:val="0E15651D"/>
    <w:rsid w:val="0E5057A7"/>
    <w:rsid w:val="0ECF2B6F"/>
    <w:rsid w:val="0F9C5147"/>
    <w:rsid w:val="107514F4"/>
    <w:rsid w:val="12745F08"/>
    <w:rsid w:val="12987560"/>
    <w:rsid w:val="12B10F0A"/>
    <w:rsid w:val="12BE53D5"/>
    <w:rsid w:val="13780B86"/>
    <w:rsid w:val="13B56D71"/>
    <w:rsid w:val="146855F8"/>
    <w:rsid w:val="14A800EA"/>
    <w:rsid w:val="14E804E7"/>
    <w:rsid w:val="153C5E15"/>
    <w:rsid w:val="193463F1"/>
    <w:rsid w:val="1A732F49"/>
    <w:rsid w:val="1B225189"/>
    <w:rsid w:val="1BBC26CD"/>
    <w:rsid w:val="1CBF2FF6"/>
    <w:rsid w:val="1CF30371"/>
    <w:rsid w:val="1D7551D2"/>
    <w:rsid w:val="1DF0041A"/>
    <w:rsid w:val="1F2C5F1C"/>
    <w:rsid w:val="1FC63103"/>
    <w:rsid w:val="20D81D57"/>
    <w:rsid w:val="20FB6928"/>
    <w:rsid w:val="20FE1268"/>
    <w:rsid w:val="221C2118"/>
    <w:rsid w:val="23307C29"/>
    <w:rsid w:val="239C07D8"/>
    <w:rsid w:val="242F7EE0"/>
    <w:rsid w:val="244D65B8"/>
    <w:rsid w:val="24606236"/>
    <w:rsid w:val="26416061"/>
    <w:rsid w:val="270218DC"/>
    <w:rsid w:val="2702368A"/>
    <w:rsid w:val="271A2793"/>
    <w:rsid w:val="27B70AB5"/>
    <w:rsid w:val="28052AE2"/>
    <w:rsid w:val="2A273105"/>
    <w:rsid w:val="2A295AED"/>
    <w:rsid w:val="2AC31D70"/>
    <w:rsid w:val="2B033E75"/>
    <w:rsid w:val="2BEE0681"/>
    <w:rsid w:val="2D5B3129"/>
    <w:rsid w:val="2D766B80"/>
    <w:rsid w:val="2D986AF6"/>
    <w:rsid w:val="2EA15E7F"/>
    <w:rsid w:val="2F860BD0"/>
    <w:rsid w:val="2FE36023"/>
    <w:rsid w:val="301A6009"/>
    <w:rsid w:val="30AD5BD5"/>
    <w:rsid w:val="30BA09FB"/>
    <w:rsid w:val="316E7B6E"/>
    <w:rsid w:val="31EE2758"/>
    <w:rsid w:val="3267118D"/>
    <w:rsid w:val="32D97AC0"/>
    <w:rsid w:val="32E53E60"/>
    <w:rsid w:val="33122C98"/>
    <w:rsid w:val="34AB1673"/>
    <w:rsid w:val="355C2AFF"/>
    <w:rsid w:val="36914AC3"/>
    <w:rsid w:val="373F7FE3"/>
    <w:rsid w:val="37513472"/>
    <w:rsid w:val="375A12C0"/>
    <w:rsid w:val="37902946"/>
    <w:rsid w:val="37971BCD"/>
    <w:rsid w:val="37D050DF"/>
    <w:rsid w:val="39074B30"/>
    <w:rsid w:val="391D07F7"/>
    <w:rsid w:val="3A716DDB"/>
    <w:rsid w:val="3A79380C"/>
    <w:rsid w:val="3AD30AAD"/>
    <w:rsid w:val="3B2A24ED"/>
    <w:rsid w:val="3B471B5C"/>
    <w:rsid w:val="3B64626A"/>
    <w:rsid w:val="3CDE204C"/>
    <w:rsid w:val="3D791238"/>
    <w:rsid w:val="3DEE4511"/>
    <w:rsid w:val="3E5C76CC"/>
    <w:rsid w:val="3E867169"/>
    <w:rsid w:val="40FC6F44"/>
    <w:rsid w:val="414D154E"/>
    <w:rsid w:val="41764F49"/>
    <w:rsid w:val="41DD28D2"/>
    <w:rsid w:val="42AE24C0"/>
    <w:rsid w:val="43931DE2"/>
    <w:rsid w:val="43F542D4"/>
    <w:rsid w:val="442E38B9"/>
    <w:rsid w:val="44BF0181"/>
    <w:rsid w:val="44C379A3"/>
    <w:rsid w:val="44F543D6"/>
    <w:rsid w:val="45120AE5"/>
    <w:rsid w:val="456450B8"/>
    <w:rsid w:val="45F34DBA"/>
    <w:rsid w:val="461D1E37"/>
    <w:rsid w:val="49995AD8"/>
    <w:rsid w:val="49F572F3"/>
    <w:rsid w:val="4A331C29"/>
    <w:rsid w:val="4B3519D1"/>
    <w:rsid w:val="4B6E6C91"/>
    <w:rsid w:val="4DA270BE"/>
    <w:rsid w:val="4E1D4541"/>
    <w:rsid w:val="4E45017D"/>
    <w:rsid w:val="4E740A62"/>
    <w:rsid w:val="4F7B5069"/>
    <w:rsid w:val="5030075B"/>
    <w:rsid w:val="50F5758E"/>
    <w:rsid w:val="511544DC"/>
    <w:rsid w:val="51CC4711"/>
    <w:rsid w:val="526E7576"/>
    <w:rsid w:val="52D376E2"/>
    <w:rsid w:val="533B38FC"/>
    <w:rsid w:val="534C7720"/>
    <w:rsid w:val="5382152B"/>
    <w:rsid w:val="553D6107"/>
    <w:rsid w:val="557856A7"/>
    <w:rsid w:val="56CE6A8E"/>
    <w:rsid w:val="58A11A39"/>
    <w:rsid w:val="58CB0C76"/>
    <w:rsid w:val="59576FB6"/>
    <w:rsid w:val="5991283D"/>
    <w:rsid w:val="5AE96334"/>
    <w:rsid w:val="5B04316E"/>
    <w:rsid w:val="5B9C33A6"/>
    <w:rsid w:val="5BC16969"/>
    <w:rsid w:val="5C166CB5"/>
    <w:rsid w:val="5C8C51C9"/>
    <w:rsid w:val="5D066909"/>
    <w:rsid w:val="5D137698"/>
    <w:rsid w:val="5D316E56"/>
    <w:rsid w:val="5D7133D9"/>
    <w:rsid w:val="5E23390B"/>
    <w:rsid w:val="5E784CCF"/>
    <w:rsid w:val="5E7F123B"/>
    <w:rsid w:val="5E89711F"/>
    <w:rsid w:val="5F3A53B0"/>
    <w:rsid w:val="5F3B3668"/>
    <w:rsid w:val="5F4609F6"/>
    <w:rsid w:val="5F5C70D4"/>
    <w:rsid w:val="5FD44EBD"/>
    <w:rsid w:val="603E4A2C"/>
    <w:rsid w:val="60A07495"/>
    <w:rsid w:val="642B4D28"/>
    <w:rsid w:val="64393E88"/>
    <w:rsid w:val="644A7E43"/>
    <w:rsid w:val="64502E6A"/>
    <w:rsid w:val="64AA1D6F"/>
    <w:rsid w:val="64C9520C"/>
    <w:rsid w:val="657D5FF6"/>
    <w:rsid w:val="6613084A"/>
    <w:rsid w:val="666D10DD"/>
    <w:rsid w:val="66D460EA"/>
    <w:rsid w:val="673E5311"/>
    <w:rsid w:val="67C779FD"/>
    <w:rsid w:val="67CE2B39"/>
    <w:rsid w:val="686314D3"/>
    <w:rsid w:val="6974326C"/>
    <w:rsid w:val="69F460FE"/>
    <w:rsid w:val="6A2B07BC"/>
    <w:rsid w:val="6A7506A4"/>
    <w:rsid w:val="6AE306AA"/>
    <w:rsid w:val="6B39651C"/>
    <w:rsid w:val="6BD37796"/>
    <w:rsid w:val="6C5337CF"/>
    <w:rsid w:val="6C726189"/>
    <w:rsid w:val="6CA67BE1"/>
    <w:rsid w:val="6D402A5E"/>
    <w:rsid w:val="6F653D83"/>
    <w:rsid w:val="6FD82D77"/>
    <w:rsid w:val="7007308C"/>
    <w:rsid w:val="706A53C9"/>
    <w:rsid w:val="71330988"/>
    <w:rsid w:val="71687B5B"/>
    <w:rsid w:val="716F2C97"/>
    <w:rsid w:val="71956476"/>
    <w:rsid w:val="71A16BC9"/>
    <w:rsid w:val="72204E44"/>
    <w:rsid w:val="72A714F9"/>
    <w:rsid w:val="72CE3C4C"/>
    <w:rsid w:val="73E94CF6"/>
    <w:rsid w:val="74A92964"/>
    <w:rsid w:val="755C3532"/>
    <w:rsid w:val="76A076F1"/>
    <w:rsid w:val="76BE1FCB"/>
    <w:rsid w:val="770C3DA7"/>
    <w:rsid w:val="77185065"/>
    <w:rsid w:val="77DD7B29"/>
    <w:rsid w:val="781C57AE"/>
    <w:rsid w:val="78632E2A"/>
    <w:rsid w:val="786B1CDE"/>
    <w:rsid w:val="79116D2A"/>
    <w:rsid w:val="796C5D0E"/>
    <w:rsid w:val="7A6C37AC"/>
    <w:rsid w:val="7A86597F"/>
    <w:rsid w:val="7AC34054"/>
    <w:rsid w:val="7BBD4F47"/>
    <w:rsid w:val="7C3F770A"/>
    <w:rsid w:val="7D3B6123"/>
    <w:rsid w:val="7DE17DC3"/>
    <w:rsid w:val="7E853A34"/>
    <w:rsid w:val="7EBE1163"/>
    <w:rsid w:val="7EEB3B79"/>
    <w:rsid w:val="7F0D7F93"/>
    <w:rsid w:val="7F5B0CFF"/>
    <w:rsid w:val="7FF5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6CEF7"/>
  <w15:docId w15:val="{5BF7CBD5-9B2F-4E78-9CAE-705EFB1B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uiPriority w:val="9"/>
    <w:qFormat/>
    <w:pPr>
      <w:outlineLvl w:val="0"/>
    </w:pPr>
    <w:rPr>
      <w:rFonts w:ascii="PMingLiU" w:eastAsia="PMingLiU" w:hAnsi="PMingLiU" w:cs="PMingLiU"/>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10">
    <w:name w:val="标题 1 字符"/>
    <w:basedOn w:val="a0"/>
    <w:link w:val="1"/>
    <w:uiPriority w:val="9"/>
    <w:qFormat/>
    <w:rPr>
      <w:rFonts w:ascii="PMingLiU" w:eastAsia="PMingLiU" w:hAnsi="PMingLiU" w:cs="PMingLiU"/>
      <w:sz w:val="44"/>
      <w:szCs w:val="44"/>
      <w:lang w:val="zh-CN" w:bidi="zh-CN"/>
    </w:r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zh-CN" w:bidi="zh-CN"/>
    </w:rPr>
  </w:style>
  <w:style w:type="paragraph" w:customStyle="1" w:styleId="Style6">
    <w:name w:val="_Style 6"/>
    <w:basedOn w:val="a"/>
    <w:uiPriority w:val="34"/>
    <w:qFormat/>
    <w:pPr>
      <w:autoSpaceDE/>
      <w:autoSpaceDN/>
      <w:ind w:firstLineChars="200" w:firstLine="420"/>
      <w:jc w:val="both"/>
    </w:pPr>
    <w:rPr>
      <w:rFonts w:ascii="Calibri" w:eastAsia="宋体" w:hAnsi="Calibri" w:cs="Times New Roman"/>
      <w:kern w:val="2"/>
      <w:sz w:val="21"/>
      <w:lang w:val="en-US" w:bidi="ar-SA"/>
    </w:rPr>
  </w:style>
  <w:style w:type="paragraph" w:customStyle="1" w:styleId="11">
    <w:name w:val="修订1"/>
    <w:hidden/>
    <w:uiPriority w:val="99"/>
    <w:unhideWhenUsed/>
    <w:qFormat/>
    <w:rPr>
      <w:rFonts w:ascii="仿宋" w:eastAsia="仿宋" w:hAnsi="仿宋" w:cs="仿宋"/>
      <w:sz w:val="22"/>
      <w:szCs w:val="22"/>
      <w:lang w:val="zh-CN" w:bidi="zh-CN"/>
    </w:rPr>
  </w:style>
  <w:style w:type="paragraph" w:customStyle="1" w:styleId="21">
    <w:name w:val="修订2"/>
    <w:hidden/>
    <w:uiPriority w:val="99"/>
    <w:unhideWhenUsed/>
    <w:qFormat/>
    <w:rPr>
      <w:rFonts w:ascii="仿宋" w:eastAsia="仿宋" w:hAnsi="仿宋" w:cs="仿宋"/>
      <w:sz w:val="22"/>
      <w:szCs w:val="22"/>
      <w:lang w:val="zh-CN" w:bidi="zh-CN"/>
    </w:rPr>
  </w:style>
  <w:style w:type="paragraph" w:customStyle="1" w:styleId="3">
    <w:name w:val="修订3"/>
    <w:hidden/>
    <w:uiPriority w:val="99"/>
    <w:unhideWhenUsed/>
    <w:qFormat/>
    <w:rPr>
      <w:rFonts w:ascii="仿宋" w:eastAsia="仿宋" w:hAnsi="仿宋" w:cs="仿宋"/>
      <w:sz w:val="22"/>
      <w:szCs w:val="22"/>
      <w:lang w:val="zh-CN" w:bidi="zh-CN"/>
    </w:rPr>
  </w:style>
  <w:style w:type="paragraph" w:styleId="af">
    <w:name w:val="List Paragraph"/>
    <w:basedOn w:val="a"/>
    <w:uiPriority w:val="99"/>
    <w:unhideWhenUsed/>
    <w:qFormat/>
    <w:pPr>
      <w:ind w:firstLineChars="200" w:firstLine="420"/>
    </w:pPr>
  </w:style>
  <w:style w:type="paragraph" w:customStyle="1" w:styleId="4">
    <w:name w:val="修订4"/>
    <w:hidden/>
    <w:uiPriority w:val="99"/>
    <w:unhideWhenUsed/>
    <w:qFormat/>
    <w:rPr>
      <w:rFonts w:ascii="仿宋" w:eastAsia="仿宋" w:hAnsi="仿宋" w:cs="仿宋"/>
      <w:sz w:val="22"/>
      <w:szCs w:val="22"/>
      <w:lang w:val="zh-CN" w:bidi="zh-CN"/>
    </w:rPr>
  </w:style>
  <w:style w:type="paragraph" w:styleId="af0">
    <w:name w:val="Revision"/>
    <w:hidden/>
    <w:uiPriority w:val="99"/>
    <w:unhideWhenUsed/>
    <w:rsid w:val="00B8527F"/>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8E03-23A0-4B6B-A5B0-0D570AF7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6</Pages>
  <Words>562</Words>
  <Characters>3208</Characters>
  <Application>Microsoft Office Word</Application>
  <DocSecurity>0</DocSecurity>
  <Lines>26</Lines>
  <Paragraphs>7</Paragraphs>
  <ScaleCrop>false</ScaleCrop>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黄丽琼</cp:lastModifiedBy>
  <cp:revision>27</cp:revision>
  <cp:lastPrinted>2025-11-03T07:48:00Z</cp:lastPrinted>
  <dcterms:created xsi:type="dcterms:W3CDTF">2025-10-31T07:30:00Z</dcterms:created>
  <dcterms:modified xsi:type="dcterms:W3CDTF">2025-11-05T06:18:00Z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eyJoZGlkIjoiYTdlNGQwNjU5ZDVlYjA5MzM4NDZkNTQwYzczNDgwZmIiLCJ1c2VySWQiOiI0ODc3NzI3MTkifQ==</vt:lpwstr>
  </property>
</Properties>
</file>