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证券代码：601187                                  证券简称：厦门银行</w:t>
      </w:r>
    </w:p>
    <w:p>
      <w:pPr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OLE_LINK4"/>
      <w:r>
        <w:rPr>
          <w:rFonts w:hint="eastAsia" w:ascii="黑体" w:hAnsi="黑体" w:eastAsia="黑体"/>
          <w:b/>
          <w:sz w:val="32"/>
          <w:szCs w:val="32"/>
        </w:rPr>
        <w:t>厦门银行股份有限公司</w:t>
      </w:r>
    </w:p>
    <w:p>
      <w:pPr>
        <w:spacing w:line="360" w:lineRule="auto"/>
        <w:jc w:val="center"/>
        <w:rPr>
          <w:rFonts w:ascii="黑体" w:hAnsi="黑体" w:eastAsia="黑体"/>
          <w:b/>
          <w:bCs/>
          <w:iCs/>
          <w:color w:val="000000"/>
          <w:sz w:val="32"/>
          <w:szCs w:val="32"/>
        </w:rPr>
      </w:pPr>
      <w:bookmarkStart w:id="1" w:name="OLE_LINK3"/>
      <w:r>
        <w:rPr>
          <w:rFonts w:hint="eastAsia" w:ascii="黑体" w:hAnsi="黑体" w:eastAsia="黑体"/>
          <w:b/>
          <w:bCs/>
          <w:iCs/>
          <w:color w:val="000000"/>
          <w:sz w:val="32"/>
          <w:szCs w:val="32"/>
        </w:rPr>
        <w:t>投资者关系</w:t>
      </w:r>
      <w:bookmarkStart w:id="2" w:name="OLE_LINK2"/>
      <w:bookmarkStart w:id="3" w:name="OLE_LINK1"/>
      <w:r>
        <w:rPr>
          <w:rFonts w:hint="eastAsia" w:ascii="黑体" w:hAnsi="黑体" w:eastAsia="黑体"/>
          <w:b/>
          <w:bCs/>
          <w:iCs/>
          <w:color w:val="000000"/>
          <w:sz w:val="32"/>
          <w:szCs w:val="32"/>
        </w:rPr>
        <w:t>活动记录表</w:t>
      </w:r>
      <w:bookmarkEnd w:id="1"/>
      <w:bookmarkEnd w:id="2"/>
      <w:bookmarkEnd w:id="3"/>
    </w:p>
    <w:bookmarkEnd w:id="0"/>
    <w:p>
      <w:pPr>
        <w:spacing w:line="400" w:lineRule="exact"/>
        <w:jc w:val="right"/>
        <w:rPr>
          <w:rFonts w:ascii="宋体" w:hAnsi="宋体" w:eastAsia="宋体"/>
          <w:bCs/>
          <w:iCs/>
          <w:color w:val="000000"/>
          <w:sz w:val="24"/>
        </w:rPr>
      </w:pP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                                              编号：202</w:t>
      </w:r>
      <w:r>
        <w:rPr>
          <w:rFonts w:ascii="宋体" w:hAnsi="宋体" w:eastAsia="宋体"/>
          <w:bCs/>
          <w:iCs/>
          <w:color w:val="000000"/>
          <w:sz w:val="24"/>
        </w:rPr>
        <w:t>5</w:t>
      </w:r>
      <w:r>
        <w:rPr>
          <w:rFonts w:hint="eastAsia" w:ascii="宋体" w:hAnsi="宋体" w:eastAsia="宋体"/>
          <w:bCs/>
          <w:iCs/>
          <w:color w:val="000000"/>
          <w:sz w:val="24"/>
        </w:rPr>
        <w:t>-</w:t>
      </w:r>
      <w:r>
        <w:rPr>
          <w:rFonts w:hint="eastAsia" w:ascii="宋体" w:hAnsi="宋体" w:eastAsia="宋体"/>
          <w:bCs/>
          <w:iCs/>
          <w:color w:val="000000"/>
          <w:sz w:val="24"/>
          <w:lang w:val="en-US" w:eastAsia="zh-CN"/>
        </w:rPr>
        <w:t>10</w:t>
      </w:r>
      <w:r>
        <w:rPr>
          <w:rFonts w:hint="eastAsia" w:ascii="宋体" w:hAnsi="宋体" w:eastAsia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8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特定对象调研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分析师会议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□</w:t>
            </w:r>
            <w:r>
              <w:rPr>
                <w:rFonts w:hint="eastAsia" w:ascii="宋体" w:hAnsi="宋体" w:eastAsia="宋体" w:cs="宋体"/>
                <w:sz w:val="24"/>
              </w:rPr>
              <w:t>媒体采访</w:t>
            </w:r>
          </w:p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业绩说明会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 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新闻发布会        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现场参观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 xml:space="preserve">           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>宝盈</w:t>
            </w:r>
            <w:r>
              <w:rPr>
                <w:rFonts w:ascii="宋体" w:hAnsi="宋体" w:eastAsia="宋体" w:cs="宋体"/>
                <w:bCs/>
                <w:iCs/>
                <w:kern w:val="0"/>
                <w:sz w:val="24"/>
              </w:rPr>
              <w:t>基金、</w:t>
            </w:r>
            <w:bookmarkStart w:id="4" w:name="OLE_LINK6"/>
            <w:bookmarkStart w:id="5" w:name="OLE_LINK5"/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>国信证券</w:t>
            </w:r>
            <w:bookmarkEnd w:id="4"/>
            <w:bookmarkEnd w:id="5"/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>2家机构、4</w:t>
            </w:r>
            <w:r>
              <w:rPr>
                <w:rFonts w:ascii="宋体" w:hAnsi="宋体" w:eastAsia="宋体" w:cs="宋体"/>
                <w:bCs/>
                <w:iCs/>
                <w:kern w:val="0"/>
                <w:sz w:val="24"/>
              </w:rPr>
              <w:t>人次参加电话会议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年11月5日（星期三）9:45–10:45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kern w:val="0"/>
                <w:sz w:val="24"/>
              </w:rPr>
              <w:t>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</w:rPr>
              <w:t>董事会办公室、计划财务部等相关部门负责人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i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贵行在存贷款规模方面增长显著，能介绍下背后推动增长的具体策略和措施吗？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2025年前三季度，我行围绕“稳增长、调结构、防风险”的核心主线，重点聚焦细分市场拓展、息差精细管控与客户深度经营，加快构建发展新格局，高质量发展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取得新成效。对公存款方面，侧重降本稳量，通过提升活期存款占比，调整定期存款产品结构、期限结构，降低存款付息率，稳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住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存款总规模。零售存款方面，加速拓展代发业务、积极布局收单业务，做大零售客群，提升客户活跃度，带动结算性存款增长；提升定期存款规模的同时调优业务结构，整体降低付息成本。贷款方面，我行聚焦服务实体经济主航道，围绕省市重点项目、制造业升级、普惠金融深化、科技创新赋能、绿色转型加速等核心领域，通过“稳存量、挖增量、拓新户”的系统化策略，推动资产结构优化与质量提升，实现双轮驱动，持续加大对企业的贷款投放。截至2025年9月末，我行贷款及垫款总额2,345.24亿元，较上年末增长14.15%，其中企业贷款与垫款总额1,572.00亿元，较上年末增长28.76%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iCs/>
                <w:color w:val="000000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贵行的息差走势如何？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得益于贷款加速上量、活期存款日均提升等结构优化措施，上半年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我行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净息差较一季度回升4bp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至1.08%，第三季度息差继续企稳。我行将持续加强结构优化及负债成本管控举措，一方面，有节奏地加大对公一般贷款增量提质，减缓贷款平均利率下降幅度，另一方面，加强活期存款吸纳、推动存款久期缩短，实现存款平均利率的持续压降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iCs/>
                <w:color w:val="000000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ascii="宋体" w:hAnsi="宋体" w:eastAsia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color w:val="000000"/>
                <w:sz w:val="24"/>
              </w:rPr>
              <w:t>贵行的资产质量情况如何？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iCs/>
                <w:color w:val="000000"/>
                <w:sz w:val="24"/>
              </w:rPr>
            </w:pP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截至2025年9月末，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我行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不良贷款率0.80%，拨备覆盖率304.39%，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关注类贷款占比较年初下降75bp至2.29%，指标呈现向好趋势，</w:t>
            </w:r>
            <w:r>
              <w:rPr>
                <w:rFonts w:ascii="宋体" w:hAnsi="宋体" w:eastAsia="宋体" w:cs="宋体"/>
                <w:iCs/>
                <w:color w:val="000000"/>
                <w:sz w:val="24"/>
              </w:rPr>
              <w:t>资产质量保持良好水</w:t>
            </w:r>
            <w:r>
              <w:rPr>
                <w:rFonts w:hint="eastAsia" w:ascii="宋体" w:hAnsi="宋体" w:eastAsia="宋体" w:cs="宋体"/>
                <w:iCs/>
                <w:color w:val="000000"/>
                <w:sz w:val="24"/>
              </w:rPr>
              <w:t>平。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ADE8E"/>
    <w:multiLevelType w:val="singleLevel"/>
    <w:tmpl w:val="942ADE8E"/>
    <w:lvl w:ilvl="0" w:tentative="0">
      <w:start w:val="1"/>
      <w:numFmt w:val="chineseCounting"/>
      <w:suff w:val="nothing"/>
      <w:lvlText w:val="%1、"/>
      <w:lvlJc w:val="left"/>
      <w:pPr>
        <w:ind w:left="1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15"/>
    <w:rsid w:val="00010AF9"/>
    <w:rsid w:val="00017E52"/>
    <w:rsid w:val="000374E5"/>
    <w:rsid w:val="00056E17"/>
    <w:rsid w:val="0007077E"/>
    <w:rsid w:val="000865C3"/>
    <w:rsid w:val="000915CF"/>
    <w:rsid w:val="00094D1A"/>
    <w:rsid w:val="000A2087"/>
    <w:rsid w:val="000D5CBE"/>
    <w:rsid w:val="000D76B7"/>
    <w:rsid w:val="00120083"/>
    <w:rsid w:val="00120AE8"/>
    <w:rsid w:val="0012483B"/>
    <w:rsid w:val="00135452"/>
    <w:rsid w:val="001670CA"/>
    <w:rsid w:val="001747CA"/>
    <w:rsid w:val="00175514"/>
    <w:rsid w:val="0017609F"/>
    <w:rsid w:val="001B212A"/>
    <w:rsid w:val="001B2ABC"/>
    <w:rsid w:val="001C6A12"/>
    <w:rsid w:val="001D437F"/>
    <w:rsid w:val="001E3243"/>
    <w:rsid w:val="00211682"/>
    <w:rsid w:val="00220E2F"/>
    <w:rsid w:val="00234EFD"/>
    <w:rsid w:val="002635DC"/>
    <w:rsid w:val="00267B38"/>
    <w:rsid w:val="00270456"/>
    <w:rsid w:val="0028137A"/>
    <w:rsid w:val="00290665"/>
    <w:rsid w:val="0029668A"/>
    <w:rsid w:val="002A5E7C"/>
    <w:rsid w:val="002B4940"/>
    <w:rsid w:val="002E664F"/>
    <w:rsid w:val="002F3829"/>
    <w:rsid w:val="003001CA"/>
    <w:rsid w:val="00320B81"/>
    <w:rsid w:val="00321BD4"/>
    <w:rsid w:val="00326BE1"/>
    <w:rsid w:val="0036439D"/>
    <w:rsid w:val="003837F6"/>
    <w:rsid w:val="003C3502"/>
    <w:rsid w:val="003E0254"/>
    <w:rsid w:val="00403237"/>
    <w:rsid w:val="004077D5"/>
    <w:rsid w:val="00426705"/>
    <w:rsid w:val="00445BB0"/>
    <w:rsid w:val="00461E9B"/>
    <w:rsid w:val="004A7354"/>
    <w:rsid w:val="004A7CA0"/>
    <w:rsid w:val="004C3B70"/>
    <w:rsid w:val="004E4DA1"/>
    <w:rsid w:val="005063C5"/>
    <w:rsid w:val="00527972"/>
    <w:rsid w:val="005368E3"/>
    <w:rsid w:val="00560778"/>
    <w:rsid w:val="00570264"/>
    <w:rsid w:val="005C6DB0"/>
    <w:rsid w:val="00603E82"/>
    <w:rsid w:val="006216D4"/>
    <w:rsid w:val="006460EF"/>
    <w:rsid w:val="00646111"/>
    <w:rsid w:val="006523D8"/>
    <w:rsid w:val="00664EE9"/>
    <w:rsid w:val="006818F9"/>
    <w:rsid w:val="006A4D81"/>
    <w:rsid w:val="006C3B27"/>
    <w:rsid w:val="006E2B18"/>
    <w:rsid w:val="006E46D6"/>
    <w:rsid w:val="006F21D2"/>
    <w:rsid w:val="006F6419"/>
    <w:rsid w:val="00701E12"/>
    <w:rsid w:val="007021F0"/>
    <w:rsid w:val="007123BE"/>
    <w:rsid w:val="00712441"/>
    <w:rsid w:val="007416B9"/>
    <w:rsid w:val="00761EA7"/>
    <w:rsid w:val="00765A2E"/>
    <w:rsid w:val="00767A4B"/>
    <w:rsid w:val="007814C6"/>
    <w:rsid w:val="00786C57"/>
    <w:rsid w:val="007A1202"/>
    <w:rsid w:val="007E5C96"/>
    <w:rsid w:val="00803AFA"/>
    <w:rsid w:val="008048E1"/>
    <w:rsid w:val="008129A6"/>
    <w:rsid w:val="00821EF4"/>
    <w:rsid w:val="008479D6"/>
    <w:rsid w:val="00862D39"/>
    <w:rsid w:val="00877250"/>
    <w:rsid w:val="00884803"/>
    <w:rsid w:val="00886535"/>
    <w:rsid w:val="00887E15"/>
    <w:rsid w:val="008A62BB"/>
    <w:rsid w:val="008B5D1F"/>
    <w:rsid w:val="008C7D83"/>
    <w:rsid w:val="009076CD"/>
    <w:rsid w:val="00934C25"/>
    <w:rsid w:val="00990948"/>
    <w:rsid w:val="00991DBA"/>
    <w:rsid w:val="009E6D7D"/>
    <w:rsid w:val="00A10A28"/>
    <w:rsid w:val="00A5429A"/>
    <w:rsid w:val="00A80D1A"/>
    <w:rsid w:val="00A814F8"/>
    <w:rsid w:val="00A85DF0"/>
    <w:rsid w:val="00AB2C92"/>
    <w:rsid w:val="00AC2FA0"/>
    <w:rsid w:val="00AD0D20"/>
    <w:rsid w:val="00AD226B"/>
    <w:rsid w:val="00AD6116"/>
    <w:rsid w:val="00AE1959"/>
    <w:rsid w:val="00AE6F23"/>
    <w:rsid w:val="00AF3539"/>
    <w:rsid w:val="00AF42F3"/>
    <w:rsid w:val="00AF5FBE"/>
    <w:rsid w:val="00B07DAF"/>
    <w:rsid w:val="00B23959"/>
    <w:rsid w:val="00B24A2C"/>
    <w:rsid w:val="00B409BC"/>
    <w:rsid w:val="00B510FA"/>
    <w:rsid w:val="00B85459"/>
    <w:rsid w:val="00B95A2D"/>
    <w:rsid w:val="00BB6CDC"/>
    <w:rsid w:val="00BE4725"/>
    <w:rsid w:val="00BF547B"/>
    <w:rsid w:val="00C07040"/>
    <w:rsid w:val="00C21162"/>
    <w:rsid w:val="00C3197B"/>
    <w:rsid w:val="00C62E73"/>
    <w:rsid w:val="00C77883"/>
    <w:rsid w:val="00CC5C34"/>
    <w:rsid w:val="00CD6D89"/>
    <w:rsid w:val="00CE3CDE"/>
    <w:rsid w:val="00CF36D1"/>
    <w:rsid w:val="00D03944"/>
    <w:rsid w:val="00D078F3"/>
    <w:rsid w:val="00D2553B"/>
    <w:rsid w:val="00D46CC5"/>
    <w:rsid w:val="00D7022F"/>
    <w:rsid w:val="00D73204"/>
    <w:rsid w:val="00D837F5"/>
    <w:rsid w:val="00D860E0"/>
    <w:rsid w:val="00DA4FC7"/>
    <w:rsid w:val="00DB23D6"/>
    <w:rsid w:val="00DB4378"/>
    <w:rsid w:val="00DC2245"/>
    <w:rsid w:val="00DC692F"/>
    <w:rsid w:val="00DE6B5E"/>
    <w:rsid w:val="00DE6B9C"/>
    <w:rsid w:val="00DF0553"/>
    <w:rsid w:val="00E3527B"/>
    <w:rsid w:val="00E65E57"/>
    <w:rsid w:val="00E868EC"/>
    <w:rsid w:val="00EE18C5"/>
    <w:rsid w:val="00EE4F1A"/>
    <w:rsid w:val="00F10BB8"/>
    <w:rsid w:val="00F24494"/>
    <w:rsid w:val="00F430C2"/>
    <w:rsid w:val="00F74796"/>
    <w:rsid w:val="00FA0123"/>
    <w:rsid w:val="00FA721E"/>
    <w:rsid w:val="00FE1F2C"/>
    <w:rsid w:val="04844854"/>
    <w:rsid w:val="106172ED"/>
    <w:rsid w:val="18831547"/>
    <w:rsid w:val="21452025"/>
    <w:rsid w:val="21D5653F"/>
    <w:rsid w:val="34C37DE1"/>
    <w:rsid w:val="373D66F1"/>
    <w:rsid w:val="3C677B59"/>
    <w:rsid w:val="475A449F"/>
    <w:rsid w:val="4A416461"/>
    <w:rsid w:val="4F2B7952"/>
    <w:rsid w:val="50F413DD"/>
    <w:rsid w:val="53813090"/>
    <w:rsid w:val="5B6372BA"/>
    <w:rsid w:val="6A190E9F"/>
    <w:rsid w:val="70562CE7"/>
    <w:rsid w:val="71411B5D"/>
    <w:rsid w:val="71C6563A"/>
    <w:rsid w:val="720D141A"/>
    <w:rsid w:val="749331CE"/>
    <w:rsid w:val="7B0E3DF2"/>
    <w:rsid w:val="7C7C44BA"/>
    <w:rsid w:val="7E75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lock Text"/>
    <w:basedOn w:val="1"/>
    <w:next w:val="1"/>
    <w:qFormat/>
    <w:uiPriority w:val="0"/>
    <w:pPr>
      <w:snapToGrid w:val="0"/>
      <w:spacing w:after="160" w:line="360" w:lineRule="auto"/>
      <w:ind w:left="-15" w:right="103" w:firstLine="447"/>
      <w:jc w:val="left"/>
    </w:pPr>
    <w:rPr>
      <w:rFonts w:ascii="宋体" w:hAnsi="宋体" w:eastAsiaTheme="minorEastAsia" w:cstheme="minorBidi"/>
      <w:spacing w:val="-2"/>
      <w:sz w:val="24"/>
      <w:szCs w:val="20"/>
      <w14:ligatures w14:val="standardContextual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Calibri" w:hAnsi="Calibri" w:eastAsia="微软雅黑" w:cs="Times New Roman"/>
      <w:szCs w:val="24"/>
    </w:rPr>
  </w:style>
  <w:style w:type="character" w:customStyle="1" w:styleId="15">
    <w:name w:val="批注主题 Char"/>
    <w:basedOn w:val="14"/>
    <w:link w:val="7"/>
    <w:semiHidden/>
    <w:qFormat/>
    <w:uiPriority w:val="99"/>
    <w:rPr>
      <w:rFonts w:ascii="Calibri" w:hAnsi="Calibri" w:eastAsia="微软雅黑" w:cs="Times New Roman"/>
      <w:b/>
      <w:bCs/>
      <w:szCs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Calibri" w:hAnsi="Calibri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AB</Company>
  <Pages>2</Pages>
  <Words>166</Words>
  <Characters>952</Characters>
  <Lines>7</Lines>
  <Paragraphs>2</Paragraphs>
  <TotalTime>73</TotalTime>
  <ScaleCrop>false</ScaleCrop>
  <LinksUpToDate>false</LinksUpToDate>
  <CharactersWithSpaces>1116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2025-11-06T02:21:00Z</dcterms:created>
  <dc:creator>邱素萍</dc:creator>
  <cp:lastModifiedBy> </cp:lastModifiedBy>
  <cp:lastPrinted>2025-09-01T05:49:00Z</cp:lastPrinted>
  <dcterms:modified xsi:type="dcterms:W3CDTF">2025-11-06T06:59:09Z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39C08968E1C4450F918E20C2CCB8E4CA</vt:lpwstr>
  </property>
</Properties>
</file>