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34BE4">
      <w:pPr>
        <w:spacing w:line="360" w:lineRule="auto"/>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证券代码：603998</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证券简称：方盛制药</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编号：2025-</w:t>
      </w:r>
      <w:r>
        <w:rPr>
          <w:rFonts w:hint="eastAsia" w:ascii="仿宋_GB2312" w:hAnsi="仿宋_GB2312" w:eastAsia="仿宋_GB2312" w:cs="仿宋_GB2312"/>
          <w:sz w:val="24"/>
          <w:highlight w:val="none"/>
        </w:rPr>
        <w:t>02</w:t>
      </w:r>
      <w:r>
        <w:rPr>
          <w:rFonts w:hint="eastAsia" w:ascii="仿宋_GB2312" w:hAnsi="仿宋_GB2312" w:eastAsia="仿宋_GB2312" w:cs="仿宋_GB2312"/>
          <w:sz w:val="24"/>
          <w:highlight w:val="none"/>
          <w:lang w:val="en-US" w:eastAsia="zh-CN"/>
        </w:rPr>
        <w:t>6</w:t>
      </w:r>
    </w:p>
    <w:p w14:paraId="4E5DF896">
      <w:pPr>
        <w:spacing w:before="156" w:beforeLines="50" w:line="520" w:lineRule="exact"/>
        <w:jc w:val="center"/>
        <w:rPr>
          <w:rFonts w:eastAsia="黑体"/>
          <w:b/>
          <w:bCs/>
          <w:sz w:val="32"/>
          <w:szCs w:val="32"/>
        </w:rPr>
      </w:pPr>
      <w:r>
        <w:rPr>
          <w:rFonts w:hint="eastAsia" w:eastAsia="黑体"/>
          <w:b/>
          <w:bCs/>
          <w:sz w:val="32"/>
          <w:szCs w:val="32"/>
        </w:rPr>
        <w:t>湖南方盛制药</w:t>
      </w:r>
      <w:r>
        <w:rPr>
          <w:rFonts w:eastAsia="黑体"/>
          <w:b/>
          <w:bCs/>
          <w:sz w:val="32"/>
          <w:szCs w:val="32"/>
        </w:rPr>
        <w:t>股份有限公司</w:t>
      </w:r>
    </w:p>
    <w:p w14:paraId="7B4DFDC9">
      <w:pPr>
        <w:spacing w:after="156" w:afterLines="50" w:line="520" w:lineRule="exact"/>
        <w:jc w:val="center"/>
        <w:rPr>
          <w:rFonts w:hint="eastAsia" w:ascii="仿宋_GB2312" w:hAnsi="仿宋_GB2312" w:eastAsia="仿宋_GB2312" w:cs="仿宋_GB2312"/>
          <w:sz w:val="24"/>
        </w:rPr>
      </w:pPr>
      <w:r>
        <w:rPr>
          <w:rFonts w:eastAsia="黑体"/>
          <w:b/>
          <w:bCs/>
          <w:sz w:val="32"/>
          <w:szCs w:val="32"/>
        </w:rPr>
        <w:t>投资者关系活动记录表</w:t>
      </w:r>
    </w:p>
    <w:tbl>
      <w:tblPr>
        <w:tblStyle w:val="1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167"/>
      </w:tblGrid>
      <w:tr w14:paraId="53A2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934" w:type="dxa"/>
            <w:noWrap w:val="0"/>
            <w:vAlign w:val="center"/>
          </w:tcPr>
          <w:p w14:paraId="37952806">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投资者关系活动类别</w:t>
            </w:r>
          </w:p>
        </w:tc>
        <w:tc>
          <w:tcPr>
            <w:tcW w:w="7167" w:type="dxa"/>
            <w:noWrap w:val="0"/>
            <w:vAlign w:val="center"/>
          </w:tcPr>
          <w:p w14:paraId="69BCF2A3">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特定对象调研</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分析师会议</w:t>
            </w:r>
          </w:p>
          <w:p w14:paraId="3E8FB0F7">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媒体采访</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业绩说明会</w:t>
            </w:r>
          </w:p>
          <w:p w14:paraId="7A6483B3">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新闻发布会</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路演活动</w:t>
            </w:r>
          </w:p>
          <w:p w14:paraId="112A3B93">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现场参观</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电话会议</w:t>
            </w:r>
          </w:p>
          <w:p w14:paraId="2BEFD9A3">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其他（电话交流会）</w:t>
            </w:r>
          </w:p>
        </w:tc>
      </w:tr>
      <w:tr w14:paraId="633C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34" w:type="dxa"/>
            <w:noWrap w:val="0"/>
            <w:vAlign w:val="center"/>
          </w:tcPr>
          <w:p w14:paraId="56961B7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参与单位名称</w:t>
            </w:r>
          </w:p>
        </w:tc>
        <w:tc>
          <w:tcPr>
            <w:tcW w:w="7167" w:type="dxa"/>
            <w:noWrap w:val="0"/>
            <w:vAlign w:val="center"/>
          </w:tcPr>
          <w:p w14:paraId="4384F958">
            <w:pPr>
              <w:keepNext w:val="0"/>
              <w:keepLines w:val="0"/>
              <w:suppressLineNumbers w:val="0"/>
              <w:spacing w:before="0" w:beforeAutospacing="0" w:after="0" w:afterAutospacing="0"/>
              <w:ind w:left="0" w:right="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天风证券、南方基金、光证资管共7人。</w:t>
            </w:r>
          </w:p>
        </w:tc>
      </w:tr>
      <w:tr w14:paraId="7CF3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34" w:type="dxa"/>
            <w:noWrap w:val="0"/>
            <w:vAlign w:val="center"/>
          </w:tcPr>
          <w:p w14:paraId="4DB61633">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时间</w:t>
            </w:r>
          </w:p>
        </w:tc>
        <w:tc>
          <w:tcPr>
            <w:tcW w:w="7167" w:type="dxa"/>
            <w:noWrap w:val="0"/>
            <w:vAlign w:val="center"/>
          </w:tcPr>
          <w:p w14:paraId="6580F5EE">
            <w:pPr>
              <w:keepNext w:val="0"/>
              <w:keepLines w:val="0"/>
              <w:suppressLineNumbers w:val="0"/>
              <w:spacing w:before="0" w:beforeAutospacing="0" w:after="0" w:afterAutospacing="0"/>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rPr>
              <w:t>2025年</w:t>
            </w:r>
            <w:r>
              <w:rPr>
                <w:rFonts w:hint="eastAsia" w:ascii="仿宋_GB2312" w:hAnsi="仿宋_GB2312" w:eastAsia="仿宋_GB2312" w:cs="仿宋_GB2312"/>
                <w:sz w:val="24"/>
                <w:lang w:val="en-US" w:eastAsia="zh-CN"/>
              </w:rPr>
              <w:t>11</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日</w:t>
            </w:r>
          </w:p>
        </w:tc>
      </w:tr>
      <w:tr w14:paraId="5ADD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34" w:type="dxa"/>
            <w:noWrap w:val="0"/>
            <w:vAlign w:val="center"/>
          </w:tcPr>
          <w:p w14:paraId="7D2A22CA">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上市公司</w:t>
            </w:r>
          </w:p>
          <w:p w14:paraId="50C58A01">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接待人员姓名</w:t>
            </w:r>
          </w:p>
        </w:tc>
        <w:tc>
          <w:tcPr>
            <w:tcW w:w="7167" w:type="dxa"/>
            <w:noWrap w:val="0"/>
            <w:vAlign w:val="center"/>
          </w:tcPr>
          <w:p w14:paraId="0167BB9E">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t>董事会秘书何仕</w:t>
            </w:r>
          </w:p>
        </w:tc>
      </w:tr>
      <w:tr w14:paraId="45C1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4" w:type="dxa"/>
            <w:noWrap w:val="0"/>
            <w:vAlign w:val="center"/>
          </w:tcPr>
          <w:p w14:paraId="0DD08E11">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地点</w:t>
            </w:r>
          </w:p>
        </w:tc>
        <w:tc>
          <w:tcPr>
            <w:tcW w:w="7167" w:type="dxa"/>
            <w:noWrap w:val="0"/>
            <w:vAlign w:val="center"/>
          </w:tcPr>
          <w:p w14:paraId="753FF7AA">
            <w:pPr>
              <w:keepNext w:val="0"/>
              <w:keepLines w:val="0"/>
              <w:suppressLineNumbers w:val="0"/>
              <w:spacing w:before="0" w:beforeAutospacing="0" w:after="0" w:afterAutospacing="0"/>
              <w:ind w:left="0" w:right="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公司会议室</w:t>
            </w:r>
          </w:p>
        </w:tc>
      </w:tr>
      <w:tr w14:paraId="55FA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34" w:type="dxa"/>
            <w:noWrap w:val="0"/>
            <w:vAlign w:val="center"/>
          </w:tcPr>
          <w:p w14:paraId="005DB496">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投资者关系活动主要内容介绍</w:t>
            </w:r>
          </w:p>
        </w:tc>
        <w:tc>
          <w:tcPr>
            <w:tcW w:w="7167" w:type="dxa"/>
            <w:noWrap w:val="0"/>
            <w:vAlign w:val="center"/>
          </w:tcPr>
          <w:p w14:paraId="7BB1051A">
            <w:pPr>
              <w:pStyle w:val="33"/>
              <w:keepNext w:val="0"/>
              <w:keepLines w:val="0"/>
              <w:widowControl/>
              <w:numPr>
                <w:ilvl w:val="0"/>
                <w:numId w:val="0"/>
              </w:numPr>
              <w:suppressLineNumbers w:val="0"/>
              <w:spacing w:before="0" w:beforeAutospacing="0" w:after="0" w:afterAutospacing="0"/>
              <w:ind w:left="0" w:right="0" w:firstLine="480"/>
              <w:jc w:val="both"/>
              <w:rPr>
                <w:rFonts w:hint="eastAsia" w:ascii="仿宋_GB2312" w:hAnsi="仿宋_GB2312" w:eastAsia="仿宋_GB2312" w:cs="仿宋_GB2312"/>
                <w:b/>
                <w:bCs/>
                <w:kern w:val="2"/>
                <w:sz w:val="24"/>
                <w:szCs w:val="24"/>
                <w:lang w:val="en-US" w:eastAsia="zh-CN" w:bidi="ar"/>
              </w:rPr>
            </w:pPr>
            <w:r>
              <w:rPr>
                <w:rFonts w:hint="eastAsia" w:ascii="仿宋_GB2312" w:hAnsi="仿宋_GB2312" w:eastAsia="仿宋_GB2312" w:cs="仿宋_GB2312"/>
                <w:b/>
                <w:kern w:val="2"/>
                <w:sz w:val="24"/>
                <w:szCs w:val="24"/>
                <w:lang w:val="en-US" w:eastAsia="zh-CN" w:bidi="ar"/>
              </w:rPr>
              <w:t>主要交流问题（风险提示：公司的经营计划目标及产品销售规划能否实现取决于市场状况、经营环境、行业政策等多种因素，存在较大不确定性，部分前瞻预计不代表公司对年度的盈利预测及对投资者的业绩承诺，请投资者对此保持足够的风险意识，并注意投资风险）</w:t>
            </w:r>
            <w:r>
              <w:rPr>
                <w:rFonts w:hint="eastAsia" w:ascii="仿宋_GB2312" w:hAnsi="仿宋_GB2312" w:eastAsia="仿宋_GB2312" w:cs="仿宋_GB2312"/>
                <w:b/>
                <w:bCs/>
                <w:kern w:val="2"/>
                <w:sz w:val="24"/>
                <w:szCs w:val="24"/>
                <w:lang w:val="en-US" w:eastAsia="zh-CN" w:bidi="ar"/>
              </w:rPr>
              <w:t>：</w:t>
            </w:r>
          </w:p>
          <w:p w14:paraId="15BAED3B">
            <w:pPr>
              <w:pStyle w:val="33"/>
              <w:keepNext w:val="0"/>
              <w:keepLines w:val="0"/>
              <w:pageBreakBefore w:val="0"/>
              <w:widowControl/>
              <w:numPr>
                <w:ilvl w:val="0"/>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ind w:left="0" w:right="0" w:firstLine="482"/>
              <w:jc w:val="both"/>
              <w:textAlignment w:val="auto"/>
              <w:rPr>
                <w:rFonts w:hint="eastAsia" w:ascii="仿宋_GB2312" w:hAnsi="仿宋_GB2312" w:eastAsia="仿宋_GB2312" w:cs="仿宋_GB2312"/>
                <w:b/>
                <w:sz w:val="24"/>
                <w:szCs w:val="24"/>
                <w:lang w:val="en-US" w:eastAsia="zh-CN" w:bidi="ar"/>
              </w:rPr>
            </w:pPr>
            <w:r>
              <w:rPr>
                <w:rFonts w:hint="eastAsia" w:ascii="仿宋_GB2312" w:hAnsi="仿宋_GB2312" w:eastAsia="仿宋_GB2312" w:cs="仿宋_GB2312"/>
                <w:b/>
                <w:sz w:val="24"/>
                <w:szCs w:val="24"/>
                <w:lang w:val="en-US" w:eastAsia="zh-CN" w:bidi="ar"/>
              </w:rPr>
              <w:t>1、公司采取哪些措施应对呼吸类产品销量下滑？</w:t>
            </w:r>
          </w:p>
          <w:p w14:paraId="6F94E0EE">
            <w:pPr>
              <w:pStyle w:val="33"/>
              <w:keepNext w:val="0"/>
              <w:keepLines w:val="0"/>
              <w:widowControl/>
              <w:numPr>
                <w:ilvl w:val="0"/>
                <w:numId w:val="0"/>
              </w:numPr>
              <w:suppressLineNumbers w:val="0"/>
              <w:spacing w:before="0" w:beforeAutospacing="0" w:after="0" w:afterAutospacing="0"/>
              <w:ind w:left="0" w:right="0" w:firstLine="480" w:firstLineChars="200"/>
              <w:jc w:val="both"/>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受季节性因素影响，公司呼吸类产品销售额出现阶段性下降。2025年前三季度，公司在止咳类产品市场拓展方面取得显著进展：小儿荆杏止咳颗粒新增覆盖公立医疗机构（等级医院+基层医院，下同）超过320家，累计覆盖近2,000家，其中等级医院超过1,200家；同时，该产品新增成人适应症研究进展顺利，二期临床试验已完成，三期临床研究正在有序推进中。强力枇杷膏（蜜炼）新增覆盖公立医疗机构超过1,200家，累计覆盖近11,000家，其中等级医院超过1,800家。未来，公司将持续加大在学术推广上的投入，深化医院准入工作，并着力提升核心产品的品牌知名度，以巩固和扩大市场地位。</w:t>
            </w:r>
          </w:p>
          <w:p w14:paraId="34F91BCA">
            <w:pPr>
              <w:pStyle w:val="33"/>
              <w:keepNext w:val="0"/>
              <w:keepLines w:val="0"/>
              <w:widowControl/>
              <w:numPr>
                <w:ilvl w:val="0"/>
                <w:numId w:val="0"/>
              </w:numPr>
              <w:suppressLineNumbers w:val="0"/>
              <w:tabs>
                <w:tab w:val="left" w:pos="420"/>
              </w:tabs>
              <w:spacing w:before="0" w:beforeLines="0" w:beforeAutospacing="0" w:after="0" w:afterLines="0" w:afterAutospacing="0"/>
              <w:ind w:left="0" w:right="0" w:firstLine="480"/>
              <w:jc w:val="both"/>
              <w:rPr>
                <w:rFonts w:hint="eastAsia" w:ascii="仿宋_GB2312" w:hAnsi="仿宋_GB2312" w:eastAsia="仿宋_GB2312" w:cs="仿宋_GB2312"/>
                <w:b/>
                <w:sz w:val="24"/>
                <w:szCs w:val="24"/>
                <w:lang w:val="en-US" w:eastAsia="zh-CN" w:bidi="ar"/>
              </w:rPr>
            </w:pPr>
            <w:r>
              <w:rPr>
                <w:rFonts w:hint="eastAsia" w:ascii="仿宋_GB2312" w:hAnsi="仿宋_GB2312" w:eastAsia="仿宋_GB2312" w:cs="仿宋_GB2312"/>
                <w:b/>
                <w:sz w:val="24"/>
                <w:szCs w:val="24"/>
                <w:lang w:val="en-US" w:eastAsia="zh-CN" w:bidi="ar"/>
              </w:rPr>
              <w:t>2、公司集采品种后续放量节奏有何预期？</w:t>
            </w:r>
          </w:p>
          <w:p w14:paraId="26E77893">
            <w:pPr>
              <w:pStyle w:val="33"/>
              <w:keepNext w:val="0"/>
              <w:keepLines w:val="0"/>
              <w:widowControl/>
              <w:numPr>
                <w:ilvl w:val="0"/>
                <w:numId w:val="0"/>
              </w:numPr>
              <w:suppressLineNumbers w:val="0"/>
              <w:spacing w:before="0" w:beforeAutospacing="0" w:after="0" w:afterAutospacing="0"/>
              <w:ind w:left="0" w:right="0" w:firstLine="480" w:firstLineChars="200"/>
              <w:jc w:val="both"/>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一直以来，医药行业受政策面影响较大，公司对集采政策做好全方位的研读，并结合公司产品做好系统规划，包括市场格局分析、产品毛利优势及借助集采增加覆盖等要素，部分产品集采后整体放量情况良好。未来将通过布局有门槛的仿制药研发、加速中药创新药出品速度、做好创新及品种储备来应对药品降价大趋势，把握医药市场重构机会。</w:t>
            </w:r>
          </w:p>
          <w:p w14:paraId="13B284CE">
            <w:pPr>
              <w:pStyle w:val="33"/>
              <w:keepNext w:val="0"/>
              <w:keepLines w:val="0"/>
              <w:widowControl/>
              <w:numPr>
                <w:ilvl w:val="0"/>
                <w:numId w:val="0"/>
              </w:numPr>
              <w:suppressLineNumbers w:val="0"/>
              <w:tabs>
                <w:tab w:val="left" w:pos="420"/>
              </w:tabs>
              <w:spacing w:before="0" w:beforeLines="0" w:beforeAutospacing="0" w:after="0" w:afterLines="0" w:afterAutospacing="0"/>
              <w:ind w:left="0" w:right="0" w:firstLine="480"/>
              <w:jc w:val="both"/>
              <w:rPr>
                <w:rFonts w:hint="eastAsia" w:ascii="仿宋_GB2312" w:hAnsi="仿宋_GB2312" w:eastAsia="仿宋_GB2312" w:cs="仿宋_GB2312"/>
                <w:b/>
                <w:sz w:val="24"/>
                <w:szCs w:val="24"/>
                <w:lang w:val="en-US" w:eastAsia="zh-CN" w:bidi="ar"/>
              </w:rPr>
            </w:pPr>
            <w:r>
              <w:rPr>
                <w:rFonts w:hint="eastAsia" w:ascii="仿宋_GB2312" w:hAnsi="仿宋_GB2312" w:eastAsia="仿宋_GB2312" w:cs="仿宋_GB2312"/>
                <w:b/>
                <w:sz w:val="24"/>
                <w:szCs w:val="24"/>
                <w:lang w:val="en-US" w:eastAsia="zh-CN" w:bidi="ar"/>
              </w:rPr>
              <w:t>3、公司研发情况如何？</w:t>
            </w:r>
          </w:p>
          <w:p w14:paraId="20A0F0A0">
            <w:pPr>
              <w:pStyle w:val="33"/>
              <w:keepNext w:val="0"/>
              <w:keepLines w:val="0"/>
              <w:widowControl/>
              <w:numPr>
                <w:ilvl w:val="0"/>
                <w:numId w:val="0"/>
              </w:numPr>
              <w:suppressLineNumbers w:val="0"/>
              <w:spacing w:before="0" w:beforeAutospacing="0" w:after="0" w:afterAutospacing="0"/>
              <w:ind w:left="0" w:right="0" w:firstLine="480" w:firstLineChars="200"/>
              <w:jc w:val="both"/>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公司自上市以来，始终以“创新中药研发”为核心竞争力，致力于建设成为以创新中药为核心的健康产业集团。目前，公司研发管线主要聚焦于骨科、心脑血管科、妇科、儿科、消化科等慢性病领域，中药创新药研发项目持续丰富。2025年前三季度，中药创新药妇科止血消痛颗粒获得国家药品监督管理局核准签发的《药物临床试验批准通知书》；中药创新药蛭龙通络片已完成II期临床研究并取得研究报告；化药仿制药瑞卢戈利片也于2025年10月15日获批临床试验；小儿荆杏止咳颗粒新增成人适应症的II期临床试验已完成，III期临床研究正在有序推进。此外，在化药研发方面，公司也取得积极成果：吲哚布芬片已按化药3类提交上市申报并获国家药监局受理；比索洛尔氨氯地平片、司来帕格片、洛索洛芬钠凝胶贴膏也已完成化药4类上市申报并获受理。自确立“打造以中药创新药为核心的健康产业集团”</w:t>
            </w:r>
            <w:bookmarkStart w:id="1" w:name="_GoBack"/>
            <w:bookmarkEnd w:id="1"/>
            <w:r>
              <w:rPr>
                <w:rFonts w:hint="eastAsia" w:ascii="仿宋_GB2312" w:hAnsi="仿宋_GB2312" w:eastAsia="仿宋_GB2312" w:cs="仿宋_GB2312"/>
                <w:sz w:val="24"/>
                <w:szCs w:val="24"/>
                <w:lang w:val="en-US" w:eastAsia="zh-CN" w:bidi="ar"/>
              </w:rPr>
              <w:t>战略以来，公司持续加大研发投入，同时积极通过外购方式储备潜力品种，不断丰富产品管线，推动业务快速发展。</w:t>
            </w:r>
            <w:r>
              <w:rPr>
                <w:rFonts w:hint="eastAsia" w:ascii="仿宋_GB2312" w:hAnsi="仿宋_GB2312" w:eastAsia="仿宋_GB2312" w:cs="仿宋_GB2312"/>
                <w:b/>
                <w:bCs/>
                <w:sz w:val="24"/>
                <w:szCs w:val="24"/>
                <w:lang w:val="en-US" w:eastAsia="zh-CN" w:bidi="ar"/>
              </w:rPr>
              <w:t>药品研发具有周期长、高投入、高风险的特点，且药品注册审批具有较大不确定性，请投资者对此保持足够的风险意识，并注意投资风险。</w:t>
            </w:r>
          </w:p>
          <w:p w14:paraId="5F96B572">
            <w:pPr>
              <w:pStyle w:val="33"/>
              <w:keepNext w:val="0"/>
              <w:keepLines w:val="0"/>
              <w:widowControl/>
              <w:numPr>
                <w:ilvl w:val="0"/>
                <w:numId w:val="0"/>
              </w:numPr>
              <w:suppressLineNumbers w:val="0"/>
              <w:tabs>
                <w:tab w:val="left" w:pos="420"/>
              </w:tabs>
              <w:spacing w:before="0" w:beforeLines="0" w:beforeAutospacing="0" w:after="0" w:afterLines="0" w:afterAutospacing="0"/>
              <w:ind w:left="0" w:right="0" w:firstLine="480"/>
              <w:jc w:val="both"/>
              <w:rPr>
                <w:rFonts w:hint="default" w:ascii="仿宋_GB2312" w:hAnsi="仿宋_GB2312" w:eastAsia="仿宋_GB2312" w:cs="仿宋_GB2312"/>
                <w:b/>
                <w:sz w:val="24"/>
                <w:szCs w:val="24"/>
                <w:lang w:val="en-US" w:eastAsia="zh-CN" w:bidi="ar"/>
              </w:rPr>
            </w:pPr>
            <w:r>
              <w:rPr>
                <w:rFonts w:hint="eastAsia" w:ascii="仿宋_GB2312" w:hAnsi="仿宋_GB2312" w:eastAsia="仿宋_GB2312" w:cs="仿宋_GB2312"/>
                <w:b/>
                <w:sz w:val="24"/>
                <w:szCs w:val="24"/>
                <w:lang w:val="en-US" w:eastAsia="zh-CN" w:bidi="ar"/>
              </w:rPr>
              <w:t>4、</w:t>
            </w:r>
            <w:bookmarkStart w:id="0" w:name="OLE_LINK1"/>
            <w:r>
              <w:rPr>
                <w:rFonts w:hint="eastAsia" w:ascii="仿宋_GB2312" w:hAnsi="仿宋_GB2312" w:eastAsia="仿宋_GB2312" w:cs="仿宋_GB2312"/>
                <w:b/>
                <w:sz w:val="24"/>
                <w:szCs w:val="24"/>
                <w:lang w:val="en-US" w:eastAsia="zh-CN" w:bidi="ar"/>
              </w:rPr>
              <w:t>公司采取哪些措施促进利润增长？</w:t>
            </w:r>
          </w:p>
          <w:bookmarkEnd w:id="0"/>
          <w:p w14:paraId="6418E83A">
            <w:pPr>
              <w:pStyle w:val="33"/>
              <w:keepNext w:val="0"/>
              <w:keepLines w:val="0"/>
              <w:widowControl/>
              <w:numPr>
                <w:ilvl w:val="0"/>
                <w:numId w:val="0"/>
              </w:numPr>
              <w:suppressLineNumbers w:val="0"/>
              <w:spacing w:before="0" w:beforeAutospacing="0" w:after="0" w:afterAutospacing="0"/>
              <w:ind w:left="0" w:right="0" w:firstLine="480" w:firstLineChars="200"/>
              <w:jc w:val="both"/>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一方面，核心产品销量稳健增长，规模效益叠加精细化成本管控带来的采购成本及费用优化，有效夯实了毛利空间。心脑血管疾病用药和骨骼肌肉系统用药领域，血塞通片/分散片、依折麦布片销量同比稳步上升，玄七健骨片、元七骨痛酊、龙血竭散等产品销量也有不同程度的增长；另一方面，随着低效医药商业资产的剥离，业务结构进一步精简，整体经营质量显著改善。在此背景下，公司2025年前三季度盈利能力呈现稳健上行态势，为长期高质量发展奠定了坚实基础。</w:t>
            </w:r>
          </w:p>
          <w:p w14:paraId="1636765B">
            <w:pPr>
              <w:pStyle w:val="33"/>
              <w:keepNext w:val="0"/>
              <w:keepLines w:val="0"/>
              <w:widowControl/>
              <w:numPr>
                <w:ilvl w:val="0"/>
                <w:numId w:val="0"/>
              </w:numPr>
              <w:suppressLineNumbers w:val="0"/>
              <w:tabs>
                <w:tab w:val="left" w:pos="420"/>
              </w:tabs>
              <w:spacing w:before="0" w:beforeLines="0" w:beforeAutospacing="0" w:after="0" w:afterLines="0" w:afterAutospacing="0"/>
              <w:ind w:left="0" w:right="0" w:firstLine="480"/>
              <w:jc w:val="both"/>
              <w:rPr>
                <w:rFonts w:hint="eastAsia" w:ascii="仿宋_GB2312" w:hAnsi="仿宋_GB2312" w:eastAsia="仿宋_GB2312" w:cs="仿宋_GB2312"/>
                <w:b/>
                <w:sz w:val="24"/>
                <w:szCs w:val="24"/>
                <w:lang w:val="en-US" w:eastAsia="zh-CN" w:bidi="ar"/>
              </w:rPr>
            </w:pPr>
            <w:r>
              <w:rPr>
                <w:rFonts w:hint="eastAsia" w:ascii="仿宋_GB2312" w:hAnsi="仿宋_GB2312" w:eastAsia="仿宋_GB2312" w:cs="仿宋_GB2312"/>
                <w:b/>
                <w:sz w:val="24"/>
                <w:szCs w:val="24"/>
                <w:lang w:val="en-US" w:eastAsia="zh-CN" w:bidi="ar"/>
              </w:rPr>
              <w:t>5、公司未来三年对分红有什么政策？</w:t>
            </w:r>
          </w:p>
          <w:p w14:paraId="7DE8265D">
            <w:pPr>
              <w:pStyle w:val="33"/>
              <w:keepNext w:val="0"/>
              <w:keepLines w:val="0"/>
              <w:widowControl/>
              <w:numPr>
                <w:ilvl w:val="0"/>
                <w:numId w:val="0"/>
              </w:numPr>
              <w:suppressLineNumbers w:val="0"/>
              <w:spacing w:before="0" w:beforeAutospacing="0" w:after="0" w:afterAutospacing="0"/>
              <w:ind w:left="0" w:right="0" w:firstLine="480" w:firstLineChars="200"/>
              <w:jc w:val="both"/>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公司积极关注回报投资者，公司上市后，制定并严格执行了积极、稳定的现金分红政策，在平衡业务发展所需资金的前提下，每年均进行了不同比例的现金分红，至今累计分红17次，分红总额约6.89亿元（含税）。自2020年开始，公司尝试一年多次分红，以增强投资者获得感，至今已完成5次中期分红、1次特别分红，积极回馈股东，与股东共同分享公司发展的红利。2025年半年度每股派发现金红利0.15元（含税），共计派发现金红利65,862,204元，占合并报表中归属于上市公司普通股股东的净利润的38.92%。</w:t>
            </w:r>
          </w:p>
          <w:p w14:paraId="19886B9B">
            <w:pPr>
              <w:pStyle w:val="33"/>
              <w:keepNext w:val="0"/>
              <w:keepLines w:val="0"/>
              <w:widowControl/>
              <w:numPr>
                <w:ilvl w:val="0"/>
                <w:numId w:val="0"/>
              </w:numPr>
              <w:suppressLineNumbers w:val="0"/>
              <w:tabs>
                <w:tab w:val="left" w:pos="420"/>
              </w:tabs>
              <w:spacing w:before="0" w:beforeLines="0" w:beforeAutospacing="0" w:after="0" w:afterLines="0" w:afterAutospacing="0"/>
              <w:ind w:left="0" w:right="0" w:firstLine="480"/>
              <w:jc w:val="both"/>
              <w:rPr>
                <w:rFonts w:hint="eastAsia" w:ascii="仿宋_GB2312" w:hAnsi="仿宋_GB2312" w:eastAsia="仿宋_GB2312" w:cs="Times New Roman"/>
                <w:b/>
                <w:sz w:val="24"/>
              </w:rPr>
            </w:pPr>
            <w:r>
              <w:rPr>
                <w:rFonts w:hint="eastAsia" w:ascii="仿宋_GB2312" w:hAnsi="仿宋_GB2312" w:eastAsia="仿宋_GB2312" w:cs="Times New Roman"/>
                <w:b/>
                <w:sz w:val="24"/>
                <w:lang w:val="en-US" w:eastAsia="zh-CN"/>
              </w:rPr>
              <w:t>6、</w:t>
            </w:r>
            <w:r>
              <w:rPr>
                <w:rFonts w:hint="eastAsia" w:ascii="仿宋_GB2312" w:hAnsi="仿宋_GB2312" w:eastAsia="仿宋_GB2312" w:cs="Times New Roman"/>
                <w:b/>
                <w:sz w:val="24"/>
              </w:rPr>
              <w:t>公司未来几年的发展策略是什么？</w:t>
            </w:r>
          </w:p>
          <w:p w14:paraId="3B9B7591">
            <w:pPr>
              <w:pStyle w:val="33"/>
              <w:keepNext w:val="0"/>
              <w:keepLines w:val="0"/>
              <w:widowControl/>
              <w:numPr>
                <w:ilvl w:val="0"/>
                <w:numId w:val="0"/>
              </w:numPr>
              <w:suppressLineNumbers w:val="0"/>
              <w:spacing w:before="0" w:beforeAutospacing="0" w:after="0" w:afterAutospacing="0"/>
              <w:ind w:left="0" w:right="0" w:firstLine="480" w:firstLineChars="200"/>
              <w:jc w:val="both"/>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首先，在战略布局方面，公司已成功实现小儿荆杏止咳颗粒和玄七健骨片两款中药创新药的上市及商业化突破。基于这一成功经验，我们将进一步加大在中药创新药领域的投入，持续优化研发与营销资源配置。未来三年，公司将加速推进在研中药创新药管线的研发进程，同步强化产品准入和渠道覆盖，力争在中医药优势重点治疗领域逐步由市场跟随者突破成为市场领先者。</w:t>
            </w:r>
          </w:p>
          <w:p w14:paraId="157195A3">
            <w:pPr>
              <w:pStyle w:val="33"/>
              <w:keepNext w:val="0"/>
              <w:keepLines w:val="0"/>
              <w:widowControl/>
              <w:numPr>
                <w:ilvl w:val="0"/>
                <w:numId w:val="0"/>
              </w:numPr>
              <w:suppressLineNumbers w:val="0"/>
              <w:spacing w:before="0" w:beforeAutospacing="0" w:after="0" w:afterAutospacing="0"/>
              <w:ind w:left="0" w:right="0" w:firstLine="480" w:firstLineChars="200"/>
              <w:jc w:val="both"/>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其次，在产品规划方面，公司已经通过藤黄健骨片、依折麦布片等产品的成功运营，验证了从产品研发到终端销售的全链条运营能力，实现单品成为品类领先者的优异成绩。站在新的发展起点上，我们将着力打造多个年销售额达3-5亿元的产品矩阵。这个矩阵将以中药创新药为核心，同时以其他经典中成药、高端仿制药和复杂制剂为补充，形成多元化的产品组合，确保公司业绩的稳健增长。</w:t>
            </w:r>
          </w:p>
          <w:p w14:paraId="6DC1BC3F">
            <w:pPr>
              <w:pStyle w:val="33"/>
              <w:keepNext w:val="0"/>
              <w:keepLines w:val="0"/>
              <w:widowControl/>
              <w:numPr>
                <w:ilvl w:val="0"/>
                <w:numId w:val="0"/>
              </w:numPr>
              <w:suppressLineNumbers w:val="0"/>
              <w:spacing w:before="0" w:beforeAutospacing="0" w:after="0" w:afterAutospacing="0"/>
              <w:ind w:left="0" w:right="0" w:firstLine="480" w:firstLineChars="200"/>
              <w:jc w:val="both"/>
              <w:rPr>
                <w:rFonts w:hint="eastAsia" w:ascii="仿宋_GB2312" w:hAnsi="仿宋_GB2312" w:eastAsia="仿宋_GB2312" w:cs="仿宋_GB2312"/>
                <w:b/>
                <w:sz w:val="24"/>
                <w:szCs w:val="24"/>
                <w:lang w:bidi="ar"/>
              </w:rPr>
            </w:pPr>
            <w:r>
              <w:rPr>
                <w:rFonts w:hint="eastAsia" w:ascii="仿宋_GB2312" w:hAnsi="仿宋_GB2312" w:eastAsia="仿宋_GB2312" w:cs="仿宋_GB2312"/>
                <w:sz w:val="24"/>
                <w:szCs w:val="24"/>
                <w:lang w:bidi="ar"/>
              </w:rPr>
              <w:t>最后，在增长预期方面，我们预计通过优化产品结构、提升运营效率、强化市场开拓等举措，未来3-5年内将实现业绩的阶梯式复合增长。这个均衡且具有竞争力的产品群，将为公司带来可持续的发展动力，推动公司整体实力迈上新的台阶。</w:t>
            </w:r>
            <w:r>
              <w:rPr>
                <w:rFonts w:hint="eastAsia" w:ascii="仿宋_GB2312" w:hAnsi="仿宋_GB2312" w:eastAsia="仿宋_GB2312" w:cs="仿宋_GB2312"/>
                <w:b/>
                <w:sz w:val="24"/>
                <w:szCs w:val="24"/>
                <w:lang w:bidi="ar"/>
              </w:rPr>
              <w:t>（风险提示：公司的经营计划目标及产品销售规划能否实现取决于市场状况、经营环境、行业政策等多种因素，存在较大不确定性，部分前瞻预计不代表公司对2025年度的盈利预测及对投资者的业绩承诺，请投资者对此保持足够的风险意识，并注意投资风险）。</w:t>
            </w:r>
          </w:p>
          <w:p w14:paraId="47663038">
            <w:pPr>
              <w:pStyle w:val="33"/>
              <w:keepNext w:val="0"/>
              <w:keepLines w:val="0"/>
              <w:pageBreakBefore w:val="0"/>
              <w:widowControl/>
              <w:numPr>
                <w:ilvl w:val="0"/>
                <w:numId w:val="0"/>
              </w:numPr>
              <w:suppressLineNumbers w:val="0"/>
              <w:tabs>
                <w:tab w:val="left" w:pos="420"/>
              </w:tabs>
              <w:kinsoku/>
              <w:wordWrap/>
              <w:overflowPunct/>
              <w:topLinePunct w:val="0"/>
              <w:autoSpaceDE/>
              <w:autoSpaceDN/>
              <w:bidi w:val="0"/>
              <w:adjustRightInd/>
              <w:snapToGrid/>
              <w:spacing w:before="0" w:beforeLines="0" w:beforeAutospacing="0" w:after="0" w:afterLines="0" w:afterAutospacing="0"/>
              <w:ind w:left="0" w:right="0" w:firstLine="480" w:firstLineChars="200"/>
              <w:jc w:val="both"/>
              <w:textAlignment w:val="auto"/>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我们坚信，凭借清晰的战略规划、扎实的研发实力和专业的营销能力，公司将在中药创新药领域继续领跑，为投资者创造更大的价值。</w:t>
            </w:r>
          </w:p>
        </w:tc>
      </w:tr>
      <w:tr w14:paraId="6696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4" w:type="dxa"/>
            <w:noWrap w:val="0"/>
            <w:vAlign w:val="center"/>
          </w:tcPr>
          <w:p w14:paraId="43660B8E">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附件清单</w:t>
            </w:r>
          </w:p>
        </w:tc>
        <w:tc>
          <w:tcPr>
            <w:tcW w:w="7167" w:type="dxa"/>
            <w:noWrap w:val="0"/>
            <w:vAlign w:val="center"/>
          </w:tcPr>
          <w:p w14:paraId="15C96B21">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无</w:t>
            </w:r>
          </w:p>
        </w:tc>
      </w:tr>
      <w:tr w14:paraId="111B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4" w:type="dxa"/>
            <w:noWrap w:val="0"/>
            <w:vAlign w:val="center"/>
          </w:tcPr>
          <w:p w14:paraId="4C4AD7C1">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备注</w:t>
            </w:r>
          </w:p>
        </w:tc>
        <w:tc>
          <w:tcPr>
            <w:tcW w:w="7167" w:type="dxa"/>
            <w:noWrap w:val="0"/>
            <w:vAlign w:val="center"/>
          </w:tcPr>
          <w:p w14:paraId="17864CB1">
            <w:pPr>
              <w:keepNext w:val="0"/>
              <w:keepLines w:val="0"/>
              <w:suppressLineNumbers w:val="0"/>
              <w:spacing w:before="0" w:beforeAutospacing="0" w:after="0" w:afterAutospacing="0" w:line="360" w:lineRule="exact"/>
              <w:ind w:left="0" w:right="0"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交流过程中，公司接待人员与投资者进行了充分的交流与沟通，严格按照有关制度规定，没有出现未公开重大信息泄露等情况。</w:t>
            </w:r>
          </w:p>
        </w:tc>
      </w:tr>
    </w:tbl>
    <w:p w14:paraId="212734E1">
      <w:pPr>
        <w:jc w:val="left"/>
        <w:rPr>
          <w:rFonts w:hint="eastAsia" w:ascii="仿宋_GB2312" w:hAnsi="仿宋_GB2312" w:eastAsia="仿宋_GB2312" w:cs="仿宋_GB2312"/>
          <w:b/>
          <w:bCs/>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2B0A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4D97A3">
                          <w:pPr>
                            <w:pStyle w:val="7"/>
                            <w:rPr>
                              <w:rFonts w:hint="eastAsia"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04D97A3">
                    <w:pPr>
                      <w:pStyle w:val="7"/>
                      <w:rPr>
                        <w:rFonts w:hint="eastAsia"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GJiNjNiNDIwNzM1MjkyZTFkM2VlZWQzZWJiNzUifQ=="/>
  </w:docVars>
  <w:rsids>
    <w:rsidRoot w:val="00172A27"/>
    <w:rsid w:val="00002A7C"/>
    <w:rsid w:val="00004F20"/>
    <w:rsid w:val="000137F8"/>
    <w:rsid w:val="00014AC1"/>
    <w:rsid w:val="00016387"/>
    <w:rsid w:val="00020CE7"/>
    <w:rsid w:val="00021B4F"/>
    <w:rsid w:val="00021FA4"/>
    <w:rsid w:val="000263EB"/>
    <w:rsid w:val="00026DCA"/>
    <w:rsid w:val="00027748"/>
    <w:rsid w:val="00030E15"/>
    <w:rsid w:val="00030E21"/>
    <w:rsid w:val="00031EFA"/>
    <w:rsid w:val="000330D2"/>
    <w:rsid w:val="0003636D"/>
    <w:rsid w:val="000406DC"/>
    <w:rsid w:val="000407F7"/>
    <w:rsid w:val="00042FED"/>
    <w:rsid w:val="00044BE8"/>
    <w:rsid w:val="00050383"/>
    <w:rsid w:val="00055D66"/>
    <w:rsid w:val="00056865"/>
    <w:rsid w:val="00056CD0"/>
    <w:rsid w:val="00060F90"/>
    <w:rsid w:val="00063A57"/>
    <w:rsid w:val="00063E41"/>
    <w:rsid w:val="00065CAE"/>
    <w:rsid w:val="000676EF"/>
    <w:rsid w:val="000706EE"/>
    <w:rsid w:val="00070C3B"/>
    <w:rsid w:val="00071F47"/>
    <w:rsid w:val="00072BB0"/>
    <w:rsid w:val="00074C31"/>
    <w:rsid w:val="00075F42"/>
    <w:rsid w:val="00076CC4"/>
    <w:rsid w:val="00080685"/>
    <w:rsid w:val="00082C79"/>
    <w:rsid w:val="00083E74"/>
    <w:rsid w:val="00084737"/>
    <w:rsid w:val="00087B1B"/>
    <w:rsid w:val="00090D18"/>
    <w:rsid w:val="00092D01"/>
    <w:rsid w:val="00094FBC"/>
    <w:rsid w:val="00095EEB"/>
    <w:rsid w:val="000A3307"/>
    <w:rsid w:val="000A335F"/>
    <w:rsid w:val="000A37FE"/>
    <w:rsid w:val="000A3D7C"/>
    <w:rsid w:val="000A7576"/>
    <w:rsid w:val="000B06B1"/>
    <w:rsid w:val="000B34AC"/>
    <w:rsid w:val="000B65AB"/>
    <w:rsid w:val="000C1891"/>
    <w:rsid w:val="000C29E5"/>
    <w:rsid w:val="000C2E8D"/>
    <w:rsid w:val="000C3554"/>
    <w:rsid w:val="000C7334"/>
    <w:rsid w:val="000C763F"/>
    <w:rsid w:val="000C78A0"/>
    <w:rsid w:val="000D175B"/>
    <w:rsid w:val="000D3803"/>
    <w:rsid w:val="000D7978"/>
    <w:rsid w:val="000D7C50"/>
    <w:rsid w:val="000E19CA"/>
    <w:rsid w:val="000E1B5B"/>
    <w:rsid w:val="000E2B4F"/>
    <w:rsid w:val="000E5F7D"/>
    <w:rsid w:val="000F1F0E"/>
    <w:rsid w:val="000F248F"/>
    <w:rsid w:val="000F5C89"/>
    <w:rsid w:val="0010169A"/>
    <w:rsid w:val="00103362"/>
    <w:rsid w:val="001037CD"/>
    <w:rsid w:val="00104D10"/>
    <w:rsid w:val="00107585"/>
    <w:rsid w:val="001077A2"/>
    <w:rsid w:val="001105B0"/>
    <w:rsid w:val="001113B7"/>
    <w:rsid w:val="001140EB"/>
    <w:rsid w:val="001204AF"/>
    <w:rsid w:val="00121055"/>
    <w:rsid w:val="001223E0"/>
    <w:rsid w:val="001254AD"/>
    <w:rsid w:val="0012571B"/>
    <w:rsid w:val="001268F2"/>
    <w:rsid w:val="00130E82"/>
    <w:rsid w:val="0013676F"/>
    <w:rsid w:val="001367BA"/>
    <w:rsid w:val="0013682E"/>
    <w:rsid w:val="0013743C"/>
    <w:rsid w:val="00137480"/>
    <w:rsid w:val="001405D1"/>
    <w:rsid w:val="00140FA9"/>
    <w:rsid w:val="00145F1B"/>
    <w:rsid w:val="00146F39"/>
    <w:rsid w:val="00151E97"/>
    <w:rsid w:val="001522C4"/>
    <w:rsid w:val="00152555"/>
    <w:rsid w:val="001545D0"/>
    <w:rsid w:val="0015618A"/>
    <w:rsid w:val="00156DDC"/>
    <w:rsid w:val="00157A32"/>
    <w:rsid w:val="00161241"/>
    <w:rsid w:val="00161361"/>
    <w:rsid w:val="00162606"/>
    <w:rsid w:val="0016376A"/>
    <w:rsid w:val="00163D93"/>
    <w:rsid w:val="00163DF2"/>
    <w:rsid w:val="00167CDD"/>
    <w:rsid w:val="00167E07"/>
    <w:rsid w:val="001710F4"/>
    <w:rsid w:val="00172AF5"/>
    <w:rsid w:val="00173339"/>
    <w:rsid w:val="00180077"/>
    <w:rsid w:val="00187EA5"/>
    <w:rsid w:val="00190149"/>
    <w:rsid w:val="00190858"/>
    <w:rsid w:val="00195413"/>
    <w:rsid w:val="001961BC"/>
    <w:rsid w:val="001A561B"/>
    <w:rsid w:val="001A69EA"/>
    <w:rsid w:val="001A71B2"/>
    <w:rsid w:val="001B158A"/>
    <w:rsid w:val="001B1914"/>
    <w:rsid w:val="001B1B27"/>
    <w:rsid w:val="001B1E97"/>
    <w:rsid w:val="001B1FE8"/>
    <w:rsid w:val="001B3CEC"/>
    <w:rsid w:val="001B4119"/>
    <w:rsid w:val="001B4C74"/>
    <w:rsid w:val="001B565F"/>
    <w:rsid w:val="001B5C5F"/>
    <w:rsid w:val="001C0CF9"/>
    <w:rsid w:val="001C1E7E"/>
    <w:rsid w:val="001C263B"/>
    <w:rsid w:val="001C6E9E"/>
    <w:rsid w:val="001C6F95"/>
    <w:rsid w:val="001D1041"/>
    <w:rsid w:val="001D41B8"/>
    <w:rsid w:val="001D569C"/>
    <w:rsid w:val="001D650E"/>
    <w:rsid w:val="001E20C5"/>
    <w:rsid w:val="001E4336"/>
    <w:rsid w:val="001E4C9D"/>
    <w:rsid w:val="001E5A95"/>
    <w:rsid w:val="001F308D"/>
    <w:rsid w:val="001F380D"/>
    <w:rsid w:val="001F4220"/>
    <w:rsid w:val="001F5FFD"/>
    <w:rsid w:val="001F7F2D"/>
    <w:rsid w:val="002001BB"/>
    <w:rsid w:val="0020065E"/>
    <w:rsid w:val="002025D2"/>
    <w:rsid w:val="00212477"/>
    <w:rsid w:val="0021254D"/>
    <w:rsid w:val="002132A8"/>
    <w:rsid w:val="00214BA6"/>
    <w:rsid w:val="0021561A"/>
    <w:rsid w:val="00216149"/>
    <w:rsid w:val="00217F30"/>
    <w:rsid w:val="00220B7F"/>
    <w:rsid w:val="0022320C"/>
    <w:rsid w:val="00224163"/>
    <w:rsid w:val="0022543F"/>
    <w:rsid w:val="002269CC"/>
    <w:rsid w:val="0022769B"/>
    <w:rsid w:val="0023103E"/>
    <w:rsid w:val="00231926"/>
    <w:rsid w:val="00231A34"/>
    <w:rsid w:val="0024228C"/>
    <w:rsid w:val="00242FCF"/>
    <w:rsid w:val="00247CAB"/>
    <w:rsid w:val="00250E97"/>
    <w:rsid w:val="00253A5F"/>
    <w:rsid w:val="002548C9"/>
    <w:rsid w:val="00257B13"/>
    <w:rsid w:val="00261DA8"/>
    <w:rsid w:val="00262AAF"/>
    <w:rsid w:val="00263A46"/>
    <w:rsid w:val="002640FC"/>
    <w:rsid w:val="00264C43"/>
    <w:rsid w:val="00264F0A"/>
    <w:rsid w:val="00273A11"/>
    <w:rsid w:val="002743A3"/>
    <w:rsid w:val="002811AA"/>
    <w:rsid w:val="0028330B"/>
    <w:rsid w:val="0029008F"/>
    <w:rsid w:val="00293A01"/>
    <w:rsid w:val="002946C3"/>
    <w:rsid w:val="0029544A"/>
    <w:rsid w:val="00295DDF"/>
    <w:rsid w:val="00296495"/>
    <w:rsid w:val="002A15F3"/>
    <w:rsid w:val="002A7157"/>
    <w:rsid w:val="002A75E2"/>
    <w:rsid w:val="002B04F5"/>
    <w:rsid w:val="002B140F"/>
    <w:rsid w:val="002B18E3"/>
    <w:rsid w:val="002B276F"/>
    <w:rsid w:val="002B5724"/>
    <w:rsid w:val="002B6AC3"/>
    <w:rsid w:val="002B7E58"/>
    <w:rsid w:val="002B7FD3"/>
    <w:rsid w:val="002C2554"/>
    <w:rsid w:val="002C34DE"/>
    <w:rsid w:val="002C6FE6"/>
    <w:rsid w:val="002D33F0"/>
    <w:rsid w:val="002D6B0F"/>
    <w:rsid w:val="002D6E93"/>
    <w:rsid w:val="002E128A"/>
    <w:rsid w:val="002E146D"/>
    <w:rsid w:val="002E1764"/>
    <w:rsid w:val="002E1B02"/>
    <w:rsid w:val="002E31A0"/>
    <w:rsid w:val="002E4D13"/>
    <w:rsid w:val="002F048A"/>
    <w:rsid w:val="002F40DF"/>
    <w:rsid w:val="002F63B1"/>
    <w:rsid w:val="002F7838"/>
    <w:rsid w:val="003000BF"/>
    <w:rsid w:val="00300782"/>
    <w:rsid w:val="00303179"/>
    <w:rsid w:val="00306B21"/>
    <w:rsid w:val="00316FA3"/>
    <w:rsid w:val="0032147B"/>
    <w:rsid w:val="00321CE2"/>
    <w:rsid w:val="003240CA"/>
    <w:rsid w:val="00325C4D"/>
    <w:rsid w:val="0032622C"/>
    <w:rsid w:val="00330727"/>
    <w:rsid w:val="003314AE"/>
    <w:rsid w:val="00332517"/>
    <w:rsid w:val="00332E62"/>
    <w:rsid w:val="00333B32"/>
    <w:rsid w:val="00335277"/>
    <w:rsid w:val="0034075A"/>
    <w:rsid w:val="0034305D"/>
    <w:rsid w:val="00344EE4"/>
    <w:rsid w:val="003459E0"/>
    <w:rsid w:val="00347A8D"/>
    <w:rsid w:val="003501A4"/>
    <w:rsid w:val="00352A24"/>
    <w:rsid w:val="0035443F"/>
    <w:rsid w:val="0035479D"/>
    <w:rsid w:val="00357500"/>
    <w:rsid w:val="0036102F"/>
    <w:rsid w:val="003634F2"/>
    <w:rsid w:val="00364DAD"/>
    <w:rsid w:val="0037101E"/>
    <w:rsid w:val="00373D5A"/>
    <w:rsid w:val="003768A3"/>
    <w:rsid w:val="00377253"/>
    <w:rsid w:val="003777AB"/>
    <w:rsid w:val="00380CC4"/>
    <w:rsid w:val="0038394F"/>
    <w:rsid w:val="00390455"/>
    <w:rsid w:val="003A006C"/>
    <w:rsid w:val="003A2289"/>
    <w:rsid w:val="003A2E7F"/>
    <w:rsid w:val="003A33A6"/>
    <w:rsid w:val="003A7C55"/>
    <w:rsid w:val="003B044B"/>
    <w:rsid w:val="003B0F6B"/>
    <w:rsid w:val="003B1152"/>
    <w:rsid w:val="003B1517"/>
    <w:rsid w:val="003B2DE8"/>
    <w:rsid w:val="003B560E"/>
    <w:rsid w:val="003B5A86"/>
    <w:rsid w:val="003B6BAE"/>
    <w:rsid w:val="003C1527"/>
    <w:rsid w:val="003C31CC"/>
    <w:rsid w:val="003C33D2"/>
    <w:rsid w:val="003C6253"/>
    <w:rsid w:val="003D0069"/>
    <w:rsid w:val="003D2530"/>
    <w:rsid w:val="003D4A7A"/>
    <w:rsid w:val="003D6E6B"/>
    <w:rsid w:val="003E2352"/>
    <w:rsid w:val="003E63A2"/>
    <w:rsid w:val="003E643F"/>
    <w:rsid w:val="003F045E"/>
    <w:rsid w:val="003F7949"/>
    <w:rsid w:val="00400056"/>
    <w:rsid w:val="00401046"/>
    <w:rsid w:val="00402F6C"/>
    <w:rsid w:val="00403140"/>
    <w:rsid w:val="0040609F"/>
    <w:rsid w:val="00406299"/>
    <w:rsid w:val="004100AA"/>
    <w:rsid w:val="004106E0"/>
    <w:rsid w:val="004108F2"/>
    <w:rsid w:val="00411ECD"/>
    <w:rsid w:val="00415AF0"/>
    <w:rsid w:val="0042067F"/>
    <w:rsid w:val="00420B8F"/>
    <w:rsid w:val="004225E9"/>
    <w:rsid w:val="00423536"/>
    <w:rsid w:val="0042472E"/>
    <w:rsid w:val="00424A7E"/>
    <w:rsid w:val="004275CF"/>
    <w:rsid w:val="004329D8"/>
    <w:rsid w:val="004349F1"/>
    <w:rsid w:val="004362BF"/>
    <w:rsid w:val="00437AE4"/>
    <w:rsid w:val="00440BBE"/>
    <w:rsid w:val="004431CC"/>
    <w:rsid w:val="00446852"/>
    <w:rsid w:val="00446B99"/>
    <w:rsid w:val="004471A0"/>
    <w:rsid w:val="0044726E"/>
    <w:rsid w:val="00450814"/>
    <w:rsid w:val="00456E10"/>
    <w:rsid w:val="00457358"/>
    <w:rsid w:val="00461132"/>
    <w:rsid w:val="00463312"/>
    <w:rsid w:val="0046560F"/>
    <w:rsid w:val="00471E8E"/>
    <w:rsid w:val="00473154"/>
    <w:rsid w:val="0047535A"/>
    <w:rsid w:val="0047753F"/>
    <w:rsid w:val="00481B08"/>
    <w:rsid w:val="004847B9"/>
    <w:rsid w:val="00486611"/>
    <w:rsid w:val="00486691"/>
    <w:rsid w:val="00486959"/>
    <w:rsid w:val="00491F73"/>
    <w:rsid w:val="00491FFA"/>
    <w:rsid w:val="004939AC"/>
    <w:rsid w:val="00495D2F"/>
    <w:rsid w:val="004A068F"/>
    <w:rsid w:val="004A1938"/>
    <w:rsid w:val="004A4158"/>
    <w:rsid w:val="004A5D64"/>
    <w:rsid w:val="004A78CC"/>
    <w:rsid w:val="004A7F16"/>
    <w:rsid w:val="004B0183"/>
    <w:rsid w:val="004B0613"/>
    <w:rsid w:val="004B354D"/>
    <w:rsid w:val="004B5187"/>
    <w:rsid w:val="004B72D0"/>
    <w:rsid w:val="004C1472"/>
    <w:rsid w:val="004C361F"/>
    <w:rsid w:val="004C50A4"/>
    <w:rsid w:val="004C6E7F"/>
    <w:rsid w:val="004D3455"/>
    <w:rsid w:val="004D6378"/>
    <w:rsid w:val="004E2B8E"/>
    <w:rsid w:val="004E2FAC"/>
    <w:rsid w:val="004E5033"/>
    <w:rsid w:val="004E687F"/>
    <w:rsid w:val="004E7133"/>
    <w:rsid w:val="004F131E"/>
    <w:rsid w:val="004F25C9"/>
    <w:rsid w:val="004F3335"/>
    <w:rsid w:val="004F570D"/>
    <w:rsid w:val="005008E8"/>
    <w:rsid w:val="005059B0"/>
    <w:rsid w:val="00506699"/>
    <w:rsid w:val="005069FD"/>
    <w:rsid w:val="00506E1C"/>
    <w:rsid w:val="00507D62"/>
    <w:rsid w:val="00515628"/>
    <w:rsid w:val="00517919"/>
    <w:rsid w:val="0052344F"/>
    <w:rsid w:val="005244B1"/>
    <w:rsid w:val="00526F58"/>
    <w:rsid w:val="00527EB2"/>
    <w:rsid w:val="00533AF1"/>
    <w:rsid w:val="005355AA"/>
    <w:rsid w:val="00535A37"/>
    <w:rsid w:val="00540192"/>
    <w:rsid w:val="00544DB1"/>
    <w:rsid w:val="00546EB1"/>
    <w:rsid w:val="00553D21"/>
    <w:rsid w:val="00554185"/>
    <w:rsid w:val="005548CA"/>
    <w:rsid w:val="00557F9A"/>
    <w:rsid w:val="00560452"/>
    <w:rsid w:val="00561772"/>
    <w:rsid w:val="00563163"/>
    <w:rsid w:val="005734FB"/>
    <w:rsid w:val="00574500"/>
    <w:rsid w:val="005805DE"/>
    <w:rsid w:val="00581A7D"/>
    <w:rsid w:val="00583B45"/>
    <w:rsid w:val="00583F62"/>
    <w:rsid w:val="00595CCE"/>
    <w:rsid w:val="00597627"/>
    <w:rsid w:val="00597CAE"/>
    <w:rsid w:val="005A2C6A"/>
    <w:rsid w:val="005A469F"/>
    <w:rsid w:val="005A6C85"/>
    <w:rsid w:val="005A7D3B"/>
    <w:rsid w:val="005A7DF7"/>
    <w:rsid w:val="005B0AF4"/>
    <w:rsid w:val="005B0DE2"/>
    <w:rsid w:val="005B3B52"/>
    <w:rsid w:val="005B50B2"/>
    <w:rsid w:val="005C0CC5"/>
    <w:rsid w:val="005C5220"/>
    <w:rsid w:val="005C56C0"/>
    <w:rsid w:val="005C6C70"/>
    <w:rsid w:val="005C71FD"/>
    <w:rsid w:val="005D3E22"/>
    <w:rsid w:val="005D5E4F"/>
    <w:rsid w:val="005E0FB0"/>
    <w:rsid w:val="005E2D36"/>
    <w:rsid w:val="005E488B"/>
    <w:rsid w:val="005E702D"/>
    <w:rsid w:val="005E7213"/>
    <w:rsid w:val="005E7C63"/>
    <w:rsid w:val="005E7D30"/>
    <w:rsid w:val="005F039C"/>
    <w:rsid w:val="005F192D"/>
    <w:rsid w:val="005F19A4"/>
    <w:rsid w:val="005F1B9E"/>
    <w:rsid w:val="0060100E"/>
    <w:rsid w:val="00605A42"/>
    <w:rsid w:val="006063EB"/>
    <w:rsid w:val="00610D51"/>
    <w:rsid w:val="00614BC9"/>
    <w:rsid w:val="0061576F"/>
    <w:rsid w:val="006162A7"/>
    <w:rsid w:val="00620EE7"/>
    <w:rsid w:val="00622EBC"/>
    <w:rsid w:val="0062422E"/>
    <w:rsid w:val="00626C89"/>
    <w:rsid w:val="006275D7"/>
    <w:rsid w:val="00627D85"/>
    <w:rsid w:val="006314FB"/>
    <w:rsid w:val="006321CC"/>
    <w:rsid w:val="006363AB"/>
    <w:rsid w:val="00641A50"/>
    <w:rsid w:val="00643B84"/>
    <w:rsid w:val="006447DC"/>
    <w:rsid w:val="006525D3"/>
    <w:rsid w:val="006532B3"/>
    <w:rsid w:val="00655253"/>
    <w:rsid w:val="006561B6"/>
    <w:rsid w:val="006634FC"/>
    <w:rsid w:val="00663C97"/>
    <w:rsid w:val="0066554A"/>
    <w:rsid w:val="00665623"/>
    <w:rsid w:val="006659BB"/>
    <w:rsid w:val="00667669"/>
    <w:rsid w:val="00671E44"/>
    <w:rsid w:val="00672768"/>
    <w:rsid w:val="00672F88"/>
    <w:rsid w:val="00673F85"/>
    <w:rsid w:val="00674189"/>
    <w:rsid w:val="00675811"/>
    <w:rsid w:val="0067640A"/>
    <w:rsid w:val="00676594"/>
    <w:rsid w:val="00677A20"/>
    <w:rsid w:val="00680A67"/>
    <w:rsid w:val="00686149"/>
    <w:rsid w:val="006903CD"/>
    <w:rsid w:val="0069087D"/>
    <w:rsid w:val="00693F3D"/>
    <w:rsid w:val="00695B95"/>
    <w:rsid w:val="006A129D"/>
    <w:rsid w:val="006A5317"/>
    <w:rsid w:val="006A74E3"/>
    <w:rsid w:val="006C5AEC"/>
    <w:rsid w:val="006D3154"/>
    <w:rsid w:val="006D3E58"/>
    <w:rsid w:val="006D56AA"/>
    <w:rsid w:val="006D7C20"/>
    <w:rsid w:val="006E1774"/>
    <w:rsid w:val="006E1B33"/>
    <w:rsid w:val="006E25A8"/>
    <w:rsid w:val="006E76EF"/>
    <w:rsid w:val="006E7CCE"/>
    <w:rsid w:val="006F0D6A"/>
    <w:rsid w:val="006F2CBB"/>
    <w:rsid w:val="006F6691"/>
    <w:rsid w:val="006F6AC2"/>
    <w:rsid w:val="0070046F"/>
    <w:rsid w:val="0070056C"/>
    <w:rsid w:val="00703FEA"/>
    <w:rsid w:val="007066E2"/>
    <w:rsid w:val="0071187B"/>
    <w:rsid w:val="00711947"/>
    <w:rsid w:val="00712B09"/>
    <w:rsid w:val="00713E99"/>
    <w:rsid w:val="0071567D"/>
    <w:rsid w:val="007226E9"/>
    <w:rsid w:val="0072273D"/>
    <w:rsid w:val="00724662"/>
    <w:rsid w:val="00727999"/>
    <w:rsid w:val="00737074"/>
    <w:rsid w:val="00737688"/>
    <w:rsid w:val="00742452"/>
    <w:rsid w:val="00761A35"/>
    <w:rsid w:val="00762A67"/>
    <w:rsid w:val="007649B8"/>
    <w:rsid w:val="0076645E"/>
    <w:rsid w:val="007670E7"/>
    <w:rsid w:val="00770383"/>
    <w:rsid w:val="007703E3"/>
    <w:rsid w:val="007705A9"/>
    <w:rsid w:val="007750E9"/>
    <w:rsid w:val="0077627D"/>
    <w:rsid w:val="00776AC3"/>
    <w:rsid w:val="00777A12"/>
    <w:rsid w:val="00782435"/>
    <w:rsid w:val="00785C87"/>
    <w:rsid w:val="00785E60"/>
    <w:rsid w:val="0078797A"/>
    <w:rsid w:val="007914DA"/>
    <w:rsid w:val="00791B31"/>
    <w:rsid w:val="00793857"/>
    <w:rsid w:val="00793DCB"/>
    <w:rsid w:val="00793E31"/>
    <w:rsid w:val="00794B06"/>
    <w:rsid w:val="007959AD"/>
    <w:rsid w:val="00795D5A"/>
    <w:rsid w:val="007966DB"/>
    <w:rsid w:val="007A08FB"/>
    <w:rsid w:val="007A4A78"/>
    <w:rsid w:val="007A5067"/>
    <w:rsid w:val="007A5D5F"/>
    <w:rsid w:val="007A5EBA"/>
    <w:rsid w:val="007A6274"/>
    <w:rsid w:val="007A6A95"/>
    <w:rsid w:val="007A7297"/>
    <w:rsid w:val="007B0232"/>
    <w:rsid w:val="007B1D4F"/>
    <w:rsid w:val="007B1E5A"/>
    <w:rsid w:val="007B329C"/>
    <w:rsid w:val="007B479D"/>
    <w:rsid w:val="007B5F85"/>
    <w:rsid w:val="007B6313"/>
    <w:rsid w:val="007C1BC7"/>
    <w:rsid w:val="007C2032"/>
    <w:rsid w:val="007C3CD1"/>
    <w:rsid w:val="007C578C"/>
    <w:rsid w:val="007C73EA"/>
    <w:rsid w:val="007D141E"/>
    <w:rsid w:val="007D2144"/>
    <w:rsid w:val="007D25E5"/>
    <w:rsid w:val="007D5B9A"/>
    <w:rsid w:val="007D64BD"/>
    <w:rsid w:val="007D7C4E"/>
    <w:rsid w:val="007E0304"/>
    <w:rsid w:val="007E2374"/>
    <w:rsid w:val="007E3A32"/>
    <w:rsid w:val="007E4352"/>
    <w:rsid w:val="007E5874"/>
    <w:rsid w:val="007E758A"/>
    <w:rsid w:val="007E7ABC"/>
    <w:rsid w:val="007F1351"/>
    <w:rsid w:val="007F288E"/>
    <w:rsid w:val="007F6D70"/>
    <w:rsid w:val="008019CF"/>
    <w:rsid w:val="00804A30"/>
    <w:rsid w:val="00805955"/>
    <w:rsid w:val="008106B8"/>
    <w:rsid w:val="00810F00"/>
    <w:rsid w:val="00813479"/>
    <w:rsid w:val="008179AB"/>
    <w:rsid w:val="00820B35"/>
    <w:rsid w:val="00821DE5"/>
    <w:rsid w:val="008238D0"/>
    <w:rsid w:val="00824184"/>
    <w:rsid w:val="00827B9C"/>
    <w:rsid w:val="008307DE"/>
    <w:rsid w:val="00830E24"/>
    <w:rsid w:val="00833BDA"/>
    <w:rsid w:val="00834A5A"/>
    <w:rsid w:val="00837D83"/>
    <w:rsid w:val="008432D0"/>
    <w:rsid w:val="008437AC"/>
    <w:rsid w:val="00850468"/>
    <w:rsid w:val="00850FAC"/>
    <w:rsid w:val="008533F2"/>
    <w:rsid w:val="0085451D"/>
    <w:rsid w:val="00855D30"/>
    <w:rsid w:val="008570EF"/>
    <w:rsid w:val="008574CB"/>
    <w:rsid w:val="00857812"/>
    <w:rsid w:val="00864A41"/>
    <w:rsid w:val="008654B1"/>
    <w:rsid w:val="00871E7E"/>
    <w:rsid w:val="008727C9"/>
    <w:rsid w:val="00874B14"/>
    <w:rsid w:val="00874BCB"/>
    <w:rsid w:val="00875E57"/>
    <w:rsid w:val="00883C0C"/>
    <w:rsid w:val="00885522"/>
    <w:rsid w:val="0089227F"/>
    <w:rsid w:val="008944D8"/>
    <w:rsid w:val="00895A90"/>
    <w:rsid w:val="00897C73"/>
    <w:rsid w:val="00897DC7"/>
    <w:rsid w:val="008B267F"/>
    <w:rsid w:val="008B449A"/>
    <w:rsid w:val="008C11A9"/>
    <w:rsid w:val="008C3661"/>
    <w:rsid w:val="008C7E52"/>
    <w:rsid w:val="008C7EDE"/>
    <w:rsid w:val="008D0892"/>
    <w:rsid w:val="008E1A34"/>
    <w:rsid w:val="008E3586"/>
    <w:rsid w:val="008E3A1B"/>
    <w:rsid w:val="008E5937"/>
    <w:rsid w:val="008E59CC"/>
    <w:rsid w:val="008E77C6"/>
    <w:rsid w:val="008F0C9E"/>
    <w:rsid w:val="008F4037"/>
    <w:rsid w:val="008F4D0D"/>
    <w:rsid w:val="008F4E1C"/>
    <w:rsid w:val="008F55FB"/>
    <w:rsid w:val="008F67E3"/>
    <w:rsid w:val="008F6959"/>
    <w:rsid w:val="008F73DB"/>
    <w:rsid w:val="00902983"/>
    <w:rsid w:val="00904560"/>
    <w:rsid w:val="009046B8"/>
    <w:rsid w:val="009051BB"/>
    <w:rsid w:val="00914B75"/>
    <w:rsid w:val="00914F6D"/>
    <w:rsid w:val="009177B2"/>
    <w:rsid w:val="00921864"/>
    <w:rsid w:val="00925219"/>
    <w:rsid w:val="00925C6D"/>
    <w:rsid w:val="0092623D"/>
    <w:rsid w:val="009273BF"/>
    <w:rsid w:val="00927D24"/>
    <w:rsid w:val="009323DC"/>
    <w:rsid w:val="00941962"/>
    <w:rsid w:val="00942C69"/>
    <w:rsid w:val="00942EA0"/>
    <w:rsid w:val="00946C71"/>
    <w:rsid w:val="009500CE"/>
    <w:rsid w:val="009506EB"/>
    <w:rsid w:val="009509C8"/>
    <w:rsid w:val="00951A2A"/>
    <w:rsid w:val="00954F34"/>
    <w:rsid w:val="009566F7"/>
    <w:rsid w:val="00960CDF"/>
    <w:rsid w:val="00962F98"/>
    <w:rsid w:val="00964FB9"/>
    <w:rsid w:val="00966C15"/>
    <w:rsid w:val="00970BFC"/>
    <w:rsid w:val="00981237"/>
    <w:rsid w:val="00981443"/>
    <w:rsid w:val="009816E6"/>
    <w:rsid w:val="00981DF3"/>
    <w:rsid w:val="009820DC"/>
    <w:rsid w:val="00982107"/>
    <w:rsid w:val="00983373"/>
    <w:rsid w:val="00986869"/>
    <w:rsid w:val="00987693"/>
    <w:rsid w:val="009905C1"/>
    <w:rsid w:val="009925D9"/>
    <w:rsid w:val="009967FE"/>
    <w:rsid w:val="009979CA"/>
    <w:rsid w:val="009A2E09"/>
    <w:rsid w:val="009A4392"/>
    <w:rsid w:val="009A750D"/>
    <w:rsid w:val="009B2452"/>
    <w:rsid w:val="009B2937"/>
    <w:rsid w:val="009B5DB8"/>
    <w:rsid w:val="009B60BE"/>
    <w:rsid w:val="009B6874"/>
    <w:rsid w:val="009B6CD9"/>
    <w:rsid w:val="009C1027"/>
    <w:rsid w:val="009C180D"/>
    <w:rsid w:val="009C2DE0"/>
    <w:rsid w:val="009C5546"/>
    <w:rsid w:val="009D1291"/>
    <w:rsid w:val="009D14FD"/>
    <w:rsid w:val="009D1962"/>
    <w:rsid w:val="009D3636"/>
    <w:rsid w:val="009D3FE6"/>
    <w:rsid w:val="009D4FDE"/>
    <w:rsid w:val="009E212D"/>
    <w:rsid w:val="009E2BBA"/>
    <w:rsid w:val="009E76A7"/>
    <w:rsid w:val="009F29CD"/>
    <w:rsid w:val="009F4910"/>
    <w:rsid w:val="009F69EB"/>
    <w:rsid w:val="009F7481"/>
    <w:rsid w:val="00A03CE0"/>
    <w:rsid w:val="00A055B8"/>
    <w:rsid w:val="00A06231"/>
    <w:rsid w:val="00A077C0"/>
    <w:rsid w:val="00A11EE3"/>
    <w:rsid w:val="00A134DF"/>
    <w:rsid w:val="00A15CFD"/>
    <w:rsid w:val="00A17A56"/>
    <w:rsid w:val="00A21F7E"/>
    <w:rsid w:val="00A22CF0"/>
    <w:rsid w:val="00A238CD"/>
    <w:rsid w:val="00A23C9C"/>
    <w:rsid w:val="00A246AB"/>
    <w:rsid w:val="00A343FA"/>
    <w:rsid w:val="00A36FF5"/>
    <w:rsid w:val="00A429A7"/>
    <w:rsid w:val="00A46F46"/>
    <w:rsid w:val="00A50851"/>
    <w:rsid w:val="00A51DC7"/>
    <w:rsid w:val="00A562E8"/>
    <w:rsid w:val="00A608B9"/>
    <w:rsid w:val="00A61E99"/>
    <w:rsid w:val="00A634F0"/>
    <w:rsid w:val="00A63E7A"/>
    <w:rsid w:val="00A67B5E"/>
    <w:rsid w:val="00A70035"/>
    <w:rsid w:val="00A775B0"/>
    <w:rsid w:val="00A7783D"/>
    <w:rsid w:val="00A81F8E"/>
    <w:rsid w:val="00A84764"/>
    <w:rsid w:val="00A8542D"/>
    <w:rsid w:val="00A91004"/>
    <w:rsid w:val="00A91EAC"/>
    <w:rsid w:val="00A93144"/>
    <w:rsid w:val="00A93C15"/>
    <w:rsid w:val="00AA003C"/>
    <w:rsid w:val="00AA04B8"/>
    <w:rsid w:val="00AA0E23"/>
    <w:rsid w:val="00AA227E"/>
    <w:rsid w:val="00AA3E9E"/>
    <w:rsid w:val="00AA560C"/>
    <w:rsid w:val="00AA5B42"/>
    <w:rsid w:val="00AA5E3F"/>
    <w:rsid w:val="00AB1A19"/>
    <w:rsid w:val="00AB236B"/>
    <w:rsid w:val="00AB3FB1"/>
    <w:rsid w:val="00AB4BE3"/>
    <w:rsid w:val="00AB555A"/>
    <w:rsid w:val="00AB5B59"/>
    <w:rsid w:val="00AB62C6"/>
    <w:rsid w:val="00AB7ED1"/>
    <w:rsid w:val="00AC108C"/>
    <w:rsid w:val="00AD1678"/>
    <w:rsid w:val="00AD1F9C"/>
    <w:rsid w:val="00AD4076"/>
    <w:rsid w:val="00AD427F"/>
    <w:rsid w:val="00AD5445"/>
    <w:rsid w:val="00AD6EF1"/>
    <w:rsid w:val="00AD7479"/>
    <w:rsid w:val="00AE2BC7"/>
    <w:rsid w:val="00AE3BE0"/>
    <w:rsid w:val="00AE595C"/>
    <w:rsid w:val="00AF14AA"/>
    <w:rsid w:val="00AF2A86"/>
    <w:rsid w:val="00AF3A4E"/>
    <w:rsid w:val="00AF4765"/>
    <w:rsid w:val="00AF6C0D"/>
    <w:rsid w:val="00B0041C"/>
    <w:rsid w:val="00B02F3D"/>
    <w:rsid w:val="00B0355E"/>
    <w:rsid w:val="00B05784"/>
    <w:rsid w:val="00B05B3B"/>
    <w:rsid w:val="00B05D0A"/>
    <w:rsid w:val="00B12608"/>
    <w:rsid w:val="00B15CBC"/>
    <w:rsid w:val="00B22EC1"/>
    <w:rsid w:val="00B24201"/>
    <w:rsid w:val="00B267B8"/>
    <w:rsid w:val="00B3157C"/>
    <w:rsid w:val="00B3269D"/>
    <w:rsid w:val="00B34B70"/>
    <w:rsid w:val="00B35B36"/>
    <w:rsid w:val="00B37032"/>
    <w:rsid w:val="00B37990"/>
    <w:rsid w:val="00B43EEC"/>
    <w:rsid w:val="00B446AC"/>
    <w:rsid w:val="00B469C7"/>
    <w:rsid w:val="00B470BD"/>
    <w:rsid w:val="00B47364"/>
    <w:rsid w:val="00B5359F"/>
    <w:rsid w:val="00B53D4A"/>
    <w:rsid w:val="00B63E5C"/>
    <w:rsid w:val="00B67248"/>
    <w:rsid w:val="00B71A08"/>
    <w:rsid w:val="00B747E7"/>
    <w:rsid w:val="00B76FB0"/>
    <w:rsid w:val="00B776E2"/>
    <w:rsid w:val="00B779A7"/>
    <w:rsid w:val="00B80BF8"/>
    <w:rsid w:val="00B8175C"/>
    <w:rsid w:val="00B81DA0"/>
    <w:rsid w:val="00B81E48"/>
    <w:rsid w:val="00B8323E"/>
    <w:rsid w:val="00B90240"/>
    <w:rsid w:val="00B912DE"/>
    <w:rsid w:val="00B938B9"/>
    <w:rsid w:val="00B93AA9"/>
    <w:rsid w:val="00B94C60"/>
    <w:rsid w:val="00B96E23"/>
    <w:rsid w:val="00BA0788"/>
    <w:rsid w:val="00BA358E"/>
    <w:rsid w:val="00BA66F4"/>
    <w:rsid w:val="00BB0BEA"/>
    <w:rsid w:val="00BB151B"/>
    <w:rsid w:val="00BB198E"/>
    <w:rsid w:val="00BB37C0"/>
    <w:rsid w:val="00BB3B41"/>
    <w:rsid w:val="00BB3B9D"/>
    <w:rsid w:val="00BB47FA"/>
    <w:rsid w:val="00BB493D"/>
    <w:rsid w:val="00BB7077"/>
    <w:rsid w:val="00BC1751"/>
    <w:rsid w:val="00BC353F"/>
    <w:rsid w:val="00BC5961"/>
    <w:rsid w:val="00BC79B6"/>
    <w:rsid w:val="00BD1C06"/>
    <w:rsid w:val="00BD27C7"/>
    <w:rsid w:val="00BD284F"/>
    <w:rsid w:val="00BD50F9"/>
    <w:rsid w:val="00BD5336"/>
    <w:rsid w:val="00BD626F"/>
    <w:rsid w:val="00BD72CC"/>
    <w:rsid w:val="00BF0233"/>
    <w:rsid w:val="00BF3DCA"/>
    <w:rsid w:val="00BF60A0"/>
    <w:rsid w:val="00C0001A"/>
    <w:rsid w:val="00C024A8"/>
    <w:rsid w:val="00C0578D"/>
    <w:rsid w:val="00C057D5"/>
    <w:rsid w:val="00C10889"/>
    <w:rsid w:val="00C112A4"/>
    <w:rsid w:val="00C12535"/>
    <w:rsid w:val="00C13B4D"/>
    <w:rsid w:val="00C171CC"/>
    <w:rsid w:val="00C20535"/>
    <w:rsid w:val="00C30BA1"/>
    <w:rsid w:val="00C36269"/>
    <w:rsid w:val="00C45746"/>
    <w:rsid w:val="00C45B4F"/>
    <w:rsid w:val="00C46715"/>
    <w:rsid w:val="00C47C3D"/>
    <w:rsid w:val="00C50428"/>
    <w:rsid w:val="00C51DD6"/>
    <w:rsid w:val="00C530E9"/>
    <w:rsid w:val="00C53D19"/>
    <w:rsid w:val="00C54165"/>
    <w:rsid w:val="00C56891"/>
    <w:rsid w:val="00C57FC9"/>
    <w:rsid w:val="00C616F9"/>
    <w:rsid w:val="00C62252"/>
    <w:rsid w:val="00C631E5"/>
    <w:rsid w:val="00C63291"/>
    <w:rsid w:val="00C6591E"/>
    <w:rsid w:val="00C6713A"/>
    <w:rsid w:val="00C908E6"/>
    <w:rsid w:val="00C91090"/>
    <w:rsid w:val="00C9439D"/>
    <w:rsid w:val="00C95B16"/>
    <w:rsid w:val="00CA1E56"/>
    <w:rsid w:val="00CA2B64"/>
    <w:rsid w:val="00CA492C"/>
    <w:rsid w:val="00CA7647"/>
    <w:rsid w:val="00CA7E7A"/>
    <w:rsid w:val="00CB14DE"/>
    <w:rsid w:val="00CB1B69"/>
    <w:rsid w:val="00CB4C6E"/>
    <w:rsid w:val="00CB66AA"/>
    <w:rsid w:val="00CC19FA"/>
    <w:rsid w:val="00CC5B5C"/>
    <w:rsid w:val="00CD2F4A"/>
    <w:rsid w:val="00CD55E2"/>
    <w:rsid w:val="00CD7AAB"/>
    <w:rsid w:val="00CE2189"/>
    <w:rsid w:val="00CE2E9E"/>
    <w:rsid w:val="00CE60D7"/>
    <w:rsid w:val="00CE7B26"/>
    <w:rsid w:val="00CE7F63"/>
    <w:rsid w:val="00CF3907"/>
    <w:rsid w:val="00CF7E62"/>
    <w:rsid w:val="00D03DE0"/>
    <w:rsid w:val="00D101DC"/>
    <w:rsid w:val="00D105E8"/>
    <w:rsid w:val="00D116F8"/>
    <w:rsid w:val="00D13F22"/>
    <w:rsid w:val="00D158CE"/>
    <w:rsid w:val="00D16B32"/>
    <w:rsid w:val="00D1727D"/>
    <w:rsid w:val="00D17339"/>
    <w:rsid w:val="00D176DA"/>
    <w:rsid w:val="00D212E8"/>
    <w:rsid w:val="00D21D3C"/>
    <w:rsid w:val="00D24E4D"/>
    <w:rsid w:val="00D3314B"/>
    <w:rsid w:val="00D335BB"/>
    <w:rsid w:val="00D33CF6"/>
    <w:rsid w:val="00D342CF"/>
    <w:rsid w:val="00D36450"/>
    <w:rsid w:val="00D403C3"/>
    <w:rsid w:val="00D41555"/>
    <w:rsid w:val="00D5317A"/>
    <w:rsid w:val="00D5355D"/>
    <w:rsid w:val="00D55402"/>
    <w:rsid w:val="00D55631"/>
    <w:rsid w:val="00D558C4"/>
    <w:rsid w:val="00D55B5C"/>
    <w:rsid w:val="00D57337"/>
    <w:rsid w:val="00D60EB7"/>
    <w:rsid w:val="00D64AAA"/>
    <w:rsid w:val="00D66016"/>
    <w:rsid w:val="00D670A0"/>
    <w:rsid w:val="00D74326"/>
    <w:rsid w:val="00D743CD"/>
    <w:rsid w:val="00D81FC5"/>
    <w:rsid w:val="00D83E30"/>
    <w:rsid w:val="00D8740F"/>
    <w:rsid w:val="00D87991"/>
    <w:rsid w:val="00D87996"/>
    <w:rsid w:val="00D87CB8"/>
    <w:rsid w:val="00D96593"/>
    <w:rsid w:val="00DA371B"/>
    <w:rsid w:val="00DA5031"/>
    <w:rsid w:val="00DA6113"/>
    <w:rsid w:val="00DA7901"/>
    <w:rsid w:val="00DB1569"/>
    <w:rsid w:val="00DB3778"/>
    <w:rsid w:val="00DB42AD"/>
    <w:rsid w:val="00DB64FE"/>
    <w:rsid w:val="00DC03EC"/>
    <w:rsid w:val="00DC12E9"/>
    <w:rsid w:val="00DC30FB"/>
    <w:rsid w:val="00DC3571"/>
    <w:rsid w:val="00DC5538"/>
    <w:rsid w:val="00DC5C49"/>
    <w:rsid w:val="00DD05C4"/>
    <w:rsid w:val="00DD4647"/>
    <w:rsid w:val="00DD46D3"/>
    <w:rsid w:val="00DD486C"/>
    <w:rsid w:val="00DD6D58"/>
    <w:rsid w:val="00DE16EF"/>
    <w:rsid w:val="00DE54EB"/>
    <w:rsid w:val="00DE62FB"/>
    <w:rsid w:val="00DE7FCD"/>
    <w:rsid w:val="00DF0D13"/>
    <w:rsid w:val="00DF2457"/>
    <w:rsid w:val="00DF2943"/>
    <w:rsid w:val="00DF335A"/>
    <w:rsid w:val="00E03D5F"/>
    <w:rsid w:val="00E06E82"/>
    <w:rsid w:val="00E10F28"/>
    <w:rsid w:val="00E11498"/>
    <w:rsid w:val="00E15AB0"/>
    <w:rsid w:val="00E15CEA"/>
    <w:rsid w:val="00E165ED"/>
    <w:rsid w:val="00E17BB4"/>
    <w:rsid w:val="00E23515"/>
    <w:rsid w:val="00E24444"/>
    <w:rsid w:val="00E259B0"/>
    <w:rsid w:val="00E27B9B"/>
    <w:rsid w:val="00E322C6"/>
    <w:rsid w:val="00E35927"/>
    <w:rsid w:val="00E36F70"/>
    <w:rsid w:val="00E4115B"/>
    <w:rsid w:val="00E4277E"/>
    <w:rsid w:val="00E450B3"/>
    <w:rsid w:val="00E5067B"/>
    <w:rsid w:val="00E50820"/>
    <w:rsid w:val="00E53BF5"/>
    <w:rsid w:val="00E545A4"/>
    <w:rsid w:val="00E556B0"/>
    <w:rsid w:val="00E56D43"/>
    <w:rsid w:val="00E5702E"/>
    <w:rsid w:val="00E6258A"/>
    <w:rsid w:val="00E66FF3"/>
    <w:rsid w:val="00E67FE6"/>
    <w:rsid w:val="00E71AAC"/>
    <w:rsid w:val="00E73059"/>
    <w:rsid w:val="00E73988"/>
    <w:rsid w:val="00E74B2B"/>
    <w:rsid w:val="00E75498"/>
    <w:rsid w:val="00E75CDF"/>
    <w:rsid w:val="00E8271B"/>
    <w:rsid w:val="00E8434D"/>
    <w:rsid w:val="00E8615F"/>
    <w:rsid w:val="00E902F5"/>
    <w:rsid w:val="00E94105"/>
    <w:rsid w:val="00E96EA3"/>
    <w:rsid w:val="00EA1468"/>
    <w:rsid w:val="00EA1F52"/>
    <w:rsid w:val="00EA2790"/>
    <w:rsid w:val="00EA47D3"/>
    <w:rsid w:val="00EA4E5F"/>
    <w:rsid w:val="00EA5D95"/>
    <w:rsid w:val="00EA5FE0"/>
    <w:rsid w:val="00EB3CF9"/>
    <w:rsid w:val="00EB7671"/>
    <w:rsid w:val="00EB79B8"/>
    <w:rsid w:val="00EC15F9"/>
    <w:rsid w:val="00EC3C5E"/>
    <w:rsid w:val="00EC62AE"/>
    <w:rsid w:val="00ED0132"/>
    <w:rsid w:val="00ED0350"/>
    <w:rsid w:val="00ED16EC"/>
    <w:rsid w:val="00ED39B1"/>
    <w:rsid w:val="00ED499C"/>
    <w:rsid w:val="00ED4A9D"/>
    <w:rsid w:val="00ED689E"/>
    <w:rsid w:val="00ED6FB3"/>
    <w:rsid w:val="00ED734A"/>
    <w:rsid w:val="00ED7C50"/>
    <w:rsid w:val="00EE2844"/>
    <w:rsid w:val="00EE40D6"/>
    <w:rsid w:val="00EF00BA"/>
    <w:rsid w:val="00EF47DD"/>
    <w:rsid w:val="00EF526F"/>
    <w:rsid w:val="00EF52A6"/>
    <w:rsid w:val="00EF5808"/>
    <w:rsid w:val="00F00870"/>
    <w:rsid w:val="00F01BB1"/>
    <w:rsid w:val="00F0211F"/>
    <w:rsid w:val="00F0254F"/>
    <w:rsid w:val="00F104A8"/>
    <w:rsid w:val="00F10AB7"/>
    <w:rsid w:val="00F11639"/>
    <w:rsid w:val="00F15AD9"/>
    <w:rsid w:val="00F16FE4"/>
    <w:rsid w:val="00F227E5"/>
    <w:rsid w:val="00F23149"/>
    <w:rsid w:val="00F243FF"/>
    <w:rsid w:val="00F246CE"/>
    <w:rsid w:val="00F24EEA"/>
    <w:rsid w:val="00F24F48"/>
    <w:rsid w:val="00F27B67"/>
    <w:rsid w:val="00F27F6E"/>
    <w:rsid w:val="00F31E8B"/>
    <w:rsid w:val="00F3397C"/>
    <w:rsid w:val="00F34A08"/>
    <w:rsid w:val="00F40473"/>
    <w:rsid w:val="00F4213D"/>
    <w:rsid w:val="00F46553"/>
    <w:rsid w:val="00F467E8"/>
    <w:rsid w:val="00F54427"/>
    <w:rsid w:val="00F54F74"/>
    <w:rsid w:val="00F57049"/>
    <w:rsid w:val="00F571C0"/>
    <w:rsid w:val="00F62457"/>
    <w:rsid w:val="00F625D3"/>
    <w:rsid w:val="00F63352"/>
    <w:rsid w:val="00F64AD5"/>
    <w:rsid w:val="00F64ADD"/>
    <w:rsid w:val="00F70827"/>
    <w:rsid w:val="00F71C86"/>
    <w:rsid w:val="00F81A6A"/>
    <w:rsid w:val="00F81E73"/>
    <w:rsid w:val="00F83D7E"/>
    <w:rsid w:val="00F84907"/>
    <w:rsid w:val="00F8683D"/>
    <w:rsid w:val="00F90C8F"/>
    <w:rsid w:val="00F91475"/>
    <w:rsid w:val="00F9208F"/>
    <w:rsid w:val="00F9230F"/>
    <w:rsid w:val="00F93182"/>
    <w:rsid w:val="00F93D21"/>
    <w:rsid w:val="00F9559F"/>
    <w:rsid w:val="00F97549"/>
    <w:rsid w:val="00FA064E"/>
    <w:rsid w:val="00FA0A79"/>
    <w:rsid w:val="00FA29F2"/>
    <w:rsid w:val="00FA4D02"/>
    <w:rsid w:val="00FA537A"/>
    <w:rsid w:val="00FA6C68"/>
    <w:rsid w:val="00FA6D38"/>
    <w:rsid w:val="00FB16E3"/>
    <w:rsid w:val="00FB4834"/>
    <w:rsid w:val="00FB5269"/>
    <w:rsid w:val="00FC08B3"/>
    <w:rsid w:val="00FC0C12"/>
    <w:rsid w:val="00FC468A"/>
    <w:rsid w:val="00FC5DBB"/>
    <w:rsid w:val="00FD00DF"/>
    <w:rsid w:val="00FD56C1"/>
    <w:rsid w:val="00FD6314"/>
    <w:rsid w:val="00FE0765"/>
    <w:rsid w:val="00FE39FE"/>
    <w:rsid w:val="00FF1031"/>
    <w:rsid w:val="00FF165B"/>
    <w:rsid w:val="00FF31EF"/>
    <w:rsid w:val="00FF5F8F"/>
    <w:rsid w:val="012F03EF"/>
    <w:rsid w:val="018E4D4F"/>
    <w:rsid w:val="022B3DE0"/>
    <w:rsid w:val="02352D25"/>
    <w:rsid w:val="025D69E7"/>
    <w:rsid w:val="02E65D4A"/>
    <w:rsid w:val="02F32E86"/>
    <w:rsid w:val="02FE7C45"/>
    <w:rsid w:val="036D2E22"/>
    <w:rsid w:val="039F38F9"/>
    <w:rsid w:val="04513BA5"/>
    <w:rsid w:val="048879EE"/>
    <w:rsid w:val="04973F5D"/>
    <w:rsid w:val="04BF1BA5"/>
    <w:rsid w:val="04EA3B94"/>
    <w:rsid w:val="0527650C"/>
    <w:rsid w:val="053C7FED"/>
    <w:rsid w:val="05854A64"/>
    <w:rsid w:val="05B559EA"/>
    <w:rsid w:val="05C13A9E"/>
    <w:rsid w:val="05FC230E"/>
    <w:rsid w:val="064569AB"/>
    <w:rsid w:val="06594433"/>
    <w:rsid w:val="065A6178"/>
    <w:rsid w:val="06FC0A3D"/>
    <w:rsid w:val="06FD1204"/>
    <w:rsid w:val="070E1304"/>
    <w:rsid w:val="070F33A6"/>
    <w:rsid w:val="07535203"/>
    <w:rsid w:val="079371E0"/>
    <w:rsid w:val="07BC2197"/>
    <w:rsid w:val="07D57B91"/>
    <w:rsid w:val="07DA21A3"/>
    <w:rsid w:val="080A5EBF"/>
    <w:rsid w:val="080B4D38"/>
    <w:rsid w:val="08A91659"/>
    <w:rsid w:val="08BE6C67"/>
    <w:rsid w:val="08D76A66"/>
    <w:rsid w:val="08E53A82"/>
    <w:rsid w:val="08FD54ED"/>
    <w:rsid w:val="092D370C"/>
    <w:rsid w:val="09D31450"/>
    <w:rsid w:val="09DD586E"/>
    <w:rsid w:val="09E5370A"/>
    <w:rsid w:val="09F66964"/>
    <w:rsid w:val="0A2544A6"/>
    <w:rsid w:val="0A543871"/>
    <w:rsid w:val="0A9E0278"/>
    <w:rsid w:val="0B140440"/>
    <w:rsid w:val="0B676008"/>
    <w:rsid w:val="0BE247C5"/>
    <w:rsid w:val="0BE82042"/>
    <w:rsid w:val="0C48440A"/>
    <w:rsid w:val="0C7038AA"/>
    <w:rsid w:val="0C806248"/>
    <w:rsid w:val="0C8A5A23"/>
    <w:rsid w:val="0CE43E2E"/>
    <w:rsid w:val="0D6A5529"/>
    <w:rsid w:val="0D8929E8"/>
    <w:rsid w:val="0DD124B7"/>
    <w:rsid w:val="0DEA55DF"/>
    <w:rsid w:val="0DEE7869"/>
    <w:rsid w:val="0E2A70F9"/>
    <w:rsid w:val="0E63139C"/>
    <w:rsid w:val="0E662472"/>
    <w:rsid w:val="0E750CB5"/>
    <w:rsid w:val="0E9005E7"/>
    <w:rsid w:val="0EE06ED6"/>
    <w:rsid w:val="0EEC54CF"/>
    <w:rsid w:val="0EF9321E"/>
    <w:rsid w:val="0F03019A"/>
    <w:rsid w:val="0F330E85"/>
    <w:rsid w:val="0FD3094C"/>
    <w:rsid w:val="0FFB4F6D"/>
    <w:rsid w:val="10095600"/>
    <w:rsid w:val="100A281A"/>
    <w:rsid w:val="101D025B"/>
    <w:rsid w:val="107E000F"/>
    <w:rsid w:val="10807BA2"/>
    <w:rsid w:val="108816C5"/>
    <w:rsid w:val="10AD60E8"/>
    <w:rsid w:val="10DB1955"/>
    <w:rsid w:val="11580B97"/>
    <w:rsid w:val="11EF57FA"/>
    <w:rsid w:val="121B23BA"/>
    <w:rsid w:val="123E76E9"/>
    <w:rsid w:val="124A6E0E"/>
    <w:rsid w:val="124F6B19"/>
    <w:rsid w:val="12F04670"/>
    <w:rsid w:val="1313230C"/>
    <w:rsid w:val="13594D3A"/>
    <w:rsid w:val="1382437A"/>
    <w:rsid w:val="13866029"/>
    <w:rsid w:val="13926FB1"/>
    <w:rsid w:val="13961C37"/>
    <w:rsid w:val="13CB29E9"/>
    <w:rsid w:val="13CD192D"/>
    <w:rsid w:val="13DB1369"/>
    <w:rsid w:val="13DC7FCF"/>
    <w:rsid w:val="13DD2BD9"/>
    <w:rsid w:val="14046502"/>
    <w:rsid w:val="14387B63"/>
    <w:rsid w:val="14630F64"/>
    <w:rsid w:val="14832CE1"/>
    <w:rsid w:val="14EA645D"/>
    <w:rsid w:val="14F5226F"/>
    <w:rsid w:val="151C29C8"/>
    <w:rsid w:val="15444045"/>
    <w:rsid w:val="156B2464"/>
    <w:rsid w:val="15B13CA7"/>
    <w:rsid w:val="15CA0B29"/>
    <w:rsid w:val="15CA354C"/>
    <w:rsid w:val="15E4036A"/>
    <w:rsid w:val="15FE6E16"/>
    <w:rsid w:val="16247865"/>
    <w:rsid w:val="166F1ADC"/>
    <w:rsid w:val="166F4819"/>
    <w:rsid w:val="16912E4D"/>
    <w:rsid w:val="16957847"/>
    <w:rsid w:val="16BD2DAB"/>
    <w:rsid w:val="170F61FF"/>
    <w:rsid w:val="17152BFA"/>
    <w:rsid w:val="173B7447"/>
    <w:rsid w:val="178564C1"/>
    <w:rsid w:val="1794664F"/>
    <w:rsid w:val="17BB29A8"/>
    <w:rsid w:val="17E02C37"/>
    <w:rsid w:val="17FD48A4"/>
    <w:rsid w:val="180345D6"/>
    <w:rsid w:val="1810708E"/>
    <w:rsid w:val="18166994"/>
    <w:rsid w:val="18284470"/>
    <w:rsid w:val="188A3382"/>
    <w:rsid w:val="19A15533"/>
    <w:rsid w:val="19D54CF7"/>
    <w:rsid w:val="19E20F0C"/>
    <w:rsid w:val="19FD6F54"/>
    <w:rsid w:val="1A135155"/>
    <w:rsid w:val="1A404D20"/>
    <w:rsid w:val="1A450A03"/>
    <w:rsid w:val="1A5B6587"/>
    <w:rsid w:val="1AA30920"/>
    <w:rsid w:val="1ACA29FE"/>
    <w:rsid w:val="1B7874D9"/>
    <w:rsid w:val="1B88752C"/>
    <w:rsid w:val="1B8A41C4"/>
    <w:rsid w:val="1BB83287"/>
    <w:rsid w:val="1BF146E6"/>
    <w:rsid w:val="1C3D438B"/>
    <w:rsid w:val="1C5046FF"/>
    <w:rsid w:val="1C894F4F"/>
    <w:rsid w:val="1CBD590D"/>
    <w:rsid w:val="1CBF6038"/>
    <w:rsid w:val="1CC85FC0"/>
    <w:rsid w:val="1CCF321B"/>
    <w:rsid w:val="1D0908AE"/>
    <w:rsid w:val="1D2C45BC"/>
    <w:rsid w:val="1D433342"/>
    <w:rsid w:val="1D4A70F5"/>
    <w:rsid w:val="1D790CEA"/>
    <w:rsid w:val="1D850F19"/>
    <w:rsid w:val="1E412E1D"/>
    <w:rsid w:val="1E730F02"/>
    <w:rsid w:val="1E8D4DE2"/>
    <w:rsid w:val="1EB57B85"/>
    <w:rsid w:val="1EE961AE"/>
    <w:rsid w:val="1F0E6B82"/>
    <w:rsid w:val="1F783F0E"/>
    <w:rsid w:val="1F875F22"/>
    <w:rsid w:val="1FA13B72"/>
    <w:rsid w:val="1FA20566"/>
    <w:rsid w:val="1FDC04D4"/>
    <w:rsid w:val="20050DB0"/>
    <w:rsid w:val="20196686"/>
    <w:rsid w:val="20392DEC"/>
    <w:rsid w:val="20AC5329"/>
    <w:rsid w:val="20E21F80"/>
    <w:rsid w:val="20F92D77"/>
    <w:rsid w:val="210C16BE"/>
    <w:rsid w:val="21584C46"/>
    <w:rsid w:val="215F414E"/>
    <w:rsid w:val="218303B4"/>
    <w:rsid w:val="21D74E97"/>
    <w:rsid w:val="21E44EAD"/>
    <w:rsid w:val="22072C8D"/>
    <w:rsid w:val="221029F2"/>
    <w:rsid w:val="22454890"/>
    <w:rsid w:val="22D16EAF"/>
    <w:rsid w:val="22DE231F"/>
    <w:rsid w:val="233F0961"/>
    <w:rsid w:val="23430C39"/>
    <w:rsid w:val="23553C79"/>
    <w:rsid w:val="237A3297"/>
    <w:rsid w:val="23A25387"/>
    <w:rsid w:val="23C20579"/>
    <w:rsid w:val="23E41475"/>
    <w:rsid w:val="23FD2397"/>
    <w:rsid w:val="24084503"/>
    <w:rsid w:val="240B0879"/>
    <w:rsid w:val="24187544"/>
    <w:rsid w:val="24382508"/>
    <w:rsid w:val="24EA6C7B"/>
    <w:rsid w:val="251175E6"/>
    <w:rsid w:val="25700DFA"/>
    <w:rsid w:val="257C7BBC"/>
    <w:rsid w:val="25CE54D7"/>
    <w:rsid w:val="25D3309D"/>
    <w:rsid w:val="25E43BA7"/>
    <w:rsid w:val="25E52FB7"/>
    <w:rsid w:val="26316C74"/>
    <w:rsid w:val="269223E7"/>
    <w:rsid w:val="26AB5400"/>
    <w:rsid w:val="26B07208"/>
    <w:rsid w:val="270D4A2F"/>
    <w:rsid w:val="270E2D46"/>
    <w:rsid w:val="27315583"/>
    <w:rsid w:val="2781077E"/>
    <w:rsid w:val="279956AA"/>
    <w:rsid w:val="27B578FB"/>
    <w:rsid w:val="27E2526A"/>
    <w:rsid w:val="280C2C81"/>
    <w:rsid w:val="280D7590"/>
    <w:rsid w:val="28276644"/>
    <w:rsid w:val="28337203"/>
    <w:rsid w:val="285C14C0"/>
    <w:rsid w:val="290B0851"/>
    <w:rsid w:val="294F5552"/>
    <w:rsid w:val="298E3D93"/>
    <w:rsid w:val="29AA01EA"/>
    <w:rsid w:val="29D47291"/>
    <w:rsid w:val="29FC4F6A"/>
    <w:rsid w:val="2AB030E8"/>
    <w:rsid w:val="2AC3165C"/>
    <w:rsid w:val="2AC80293"/>
    <w:rsid w:val="2B4C4117"/>
    <w:rsid w:val="2B513A1E"/>
    <w:rsid w:val="2BA744FB"/>
    <w:rsid w:val="2BCC6C54"/>
    <w:rsid w:val="2BE82EB3"/>
    <w:rsid w:val="2C1377E4"/>
    <w:rsid w:val="2C92669A"/>
    <w:rsid w:val="2C972AC7"/>
    <w:rsid w:val="2CCE5985"/>
    <w:rsid w:val="2CFB0C2C"/>
    <w:rsid w:val="2D025963"/>
    <w:rsid w:val="2D2A760E"/>
    <w:rsid w:val="2D4C2F71"/>
    <w:rsid w:val="2D4E0D94"/>
    <w:rsid w:val="2DB558CF"/>
    <w:rsid w:val="2DC437C3"/>
    <w:rsid w:val="2E001917"/>
    <w:rsid w:val="2E5205ED"/>
    <w:rsid w:val="2E720143"/>
    <w:rsid w:val="2E9D7E47"/>
    <w:rsid w:val="2EA96374"/>
    <w:rsid w:val="2F0B66E4"/>
    <w:rsid w:val="2F6F512D"/>
    <w:rsid w:val="2F7B2B74"/>
    <w:rsid w:val="2FC22A25"/>
    <w:rsid w:val="2FC409EA"/>
    <w:rsid w:val="30332322"/>
    <w:rsid w:val="303D0CAF"/>
    <w:rsid w:val="305013D7"/>
    <w:rsid w:val="30503E51"/>
    <w:rsid w:val="30937BCB"/>
    <w:rsid w:val="30BC19B3"/>
    <w:rsid w:val="30D04998"/>
    <w:rsid w:val="30E11109"/>
    <w:rsid w:val="30F77AE2"/>
    <w:rsid w:val="3113045D"/>
    <w:rsid w:val="317E3372"/>
    <w:rsid w:val="31971ED6"/>
    <w:rsid w:val="319E0895"/>
    <w:rsid w:val="31EB26E7"/>
    <w:rsid w:val="32BA51EF"/>
    <w:rsid w:val="33172916"/>
    <w:rsid w:val="33BA63EC"/>
    <w:rsid w:val="33C137F8"/>
    <w:rsid w:val="33E76AFF"/>
    <w:rsid w:val="340E6A52"/>
    <w:rsid w:val="34A3313E"/>
    <w:rsid w:val="34B25EEA"/>
    <w:rsid w:val="34C82D26"/>
    <w:rsid w:val="34D95AE7"/>
    <w:rsid w:val="34E116D1"/>
    <w:rsid w:val="34E455D8"/>
    <w:rsid w:val="34F90FC7"/>
    <w:rsid w:val="351568D9"/>
    <w:rsid w:val="352C13AF"/>
    <w:rsid w:val="355A03B0"/>
    <w:rsid w:val="35C9034A"/>
    <w:rsid w:val="36073DE5"/>
    <w:rsid w:val="361E4D75"/>
    <w:rsid w:val="36264ECD"/>
    <w:rsid w:val="36382222"/>
    <w:rsid w:val="364F434D"/>
    <w:rsid w:val="366E4E6B"/>
    <w:rsid w:val="368C40FC"/>
    <w:rsid w:val="3692550A"/>
    <w:rsid w:val="36D37903"/>
    <w:rsid w:val="36E2469A"/>
    <w:rsid w:val="370B7A5D"/>
    <w:rsid w:val="372F0F16"/>
    <w:rsid w:val="374E209A"/>
    <w:rsid w:val="37712166"/>
    <w:rsid w:val="37C02A03"/>
    <w:rsid w:val="37D64BA7"/>
    <w:rsid w:val="37E37DE5"/>
    <w:rsid w:val="37F03258"/>
    <w:rsid w:val="37F1644F"/>
    <w:rsid w:val="37F543DF"/>
    <w:rsid w:val="381955C2"/>
    <w:rsid w:val="38196A80"/>
    <w:rsid w:val="3824552F"/>
    <w:rsid w:val="3882455A"/>
    <w:rsid w:val="38C12864"/>
    <w:rsid w:val="38C56475"/>
    <w:rsid w:val="38DB2257"/>
    <w:rsid w:val="38E63D5C"/>
    <w:rsid w:val="38ED59F4"/>
    <w:rsid w:val="38F9740A"/>
    <w:rsid w:val="390A467E"/>
    <w:rsid w:val="39102EBA"/>
    <w:rsid w:val="392651DA"/>
    <w:rsid w:val="39271051"/>
    <w:rsid w:val="39DE2D7E"/>
    <w:rsid w:val="39F77F98"/>
    <w:rsid w:val="3A2A75FA"/>
    <w:rsid w:val="3A6164C2"/>
    <w:rsid w:val="3A835518"/>
    <w:rsid w:val="3A901E11"/>
    <w:rsid w:val="3AA34BC6"/>
    <w:rsid w:val="3AB66EAD"/>
    <w:rsid w:val="3AF6384B"/>
    <w:rsid w:val="3B1A57AD"/>
    <w:rsid w:val="3B3E2840"/>
    <w:rsid w:val="3B5564E5"/>
    <w:rsid w:val="3BA8397D"/>
    <w:rsid w:val="3BC0156B"/>
    <w:rsid w:val="3BC83BA3"/>
    <w:rsid w:val="3C3379CF"/>
    <w:rsid w:val="3C3925D8"/>
    <w:rsid w:val="3C5332FF"/>
    <w:rsid w:val="3CC2763E"/>
    <w:rsid w:val="3CCF6EAD"/>
    <w:rsid w:val="3D436BE6"/>
    <w:rsid w:val="3D8231C1"/>
    <w:rsid w:val="3D9D2CBE"/>
    <w:rsid w:val="3DB868D1"/>
    <w:rsid w:val="3DC45377"/>
    <w:rsid w:val="3DE56621"/>
    <w:rsid w:val="3DF45431"/>
    <w:rsid w:val="3DFA6393"/>
    <w:rsid w:val="3E7F48AB"/>
    <w:rsid w:val="3EB23BAE"/>
    <w:rsid w:val="3EC5232D"/>
    <w:rsid w:val="3F023FA7"/>
    <w:rsid w:val="3F125AF8"/>
    <w:rsid w:val="3F93406F"/>
    <w:rsid w:val="3FA737B4"/>
    <w:rsid w:val="3FA73B7E"/>
    <w:rsid w:val="3FD8378A"/>
    <w:rsid w:val="3FE36C41"/>
    <w:rsid w:val="401048C5"/>
    <w:rsid w:val="404D669E"/>
    <w:rsid w:val="40505EE3"/>
    <w:rsid w:val="407724D1"/>
    <w:rsid w:val="407B414D"/>
    <w:rsid w:val="40880C4C"/>
    <w:rsid w:val="40B65EB6"/>
    <w:rsid w:val="40E16D7E"/>
    <w:rsid w:val="41160F81"/>
    <w:rsid w:val="41220E6C"/>
    <w:rsid w:val="41375727"/>
    <w:rsid w:val="413A2C90"/>
    <w:rsid w:val="41A0173B"/>
    <w:rsid w:val="421957B9"/>
    <w:rsid w:val="4249266A"/>
    <w:rsid w:val="42536FE0"/>
    <w:rsid w:val="42894983"/>
    <w:rsid w:val="42A3643B"/>
    <w:rsid w:val="42A54B34"/>
    <w:rsid w:val="42C8640B"/>
    <w:rsid w:val="42EB4570"/>
    <w:rsid w:val="430C640E"/>
    <w:rsid w:val="432561CA"/>
    <w:rsid w:val="437C4D4D"/>
    <w:rsid w:val="438A58A2"/>
    <w:rsid w:val="43BA36A6"/>
    <w:rsid w:val="43D46ACE"/>
    <w:rsid w:val="43F92A44"/>
    <w:rsid w:val="441C53CD"/>
    <w:rsid w:val="453F76F1"/>
    <w:rsid w:val="456A2DB6"/>
    <w:rsid w:val="45854F53"/>
    <w:rsid w:val="45B23252"/>
    <w:rsid w:val="45E35BFF"/>
    <w:rsid w:val="45E90200"/>
    <w:rsid w:val="45F20BF7"/>
    <w:rsid w:val="464004CF"/>
    <w:rsid w:val="46B4048E"/>
    <w:rsid w:val="46F25D74"/>
    <w:rsid w:val="47035794"/>
    <w:rsid w:val="472A7ACA"/>
    <w:rsid w:val="479A3377"/>
    <w:rsid w:val="47AF2995"/>
    <w:rsid w:val="47B97297"/>
    <w:rsid w:val="47E5363F"/>
    <w:rsid w:val="47E67CBD"/>
    <w:rsid w:val="47F6049F"/>
    <w:rsid w:val="482F66A5"/>
    <w:rsid w:val="48496326"/>
    <w:rsid w:val="48825013"/>
    <w:rsid w:val="48B71FF6"/>
    <w:rsid w:val="48B721DD"/>
    <w:rsid w:val="49806770"/>
    <w:rsid w:val="49823F97"/>
    <w:rsid w:val="49FA1BC4"/>
    <w:rsid w:val="4A3C336D"/>
    <w:rsid w:val="4A6561F3"/>
    <w:rsid w:val="4AB0456A"/>
    <w:rsid w:val="4AD54172"/>
    <w:rsid w:val="4AD93E52"/>
    <w:rsid w:val="4B380F77"/>
    <w:rsid w:val="4B431506"/>
    <w:rsid w:val="4B46248B"/>
    <w:rsid w:val="4B754D9F"/>
    <w:rsid w:val="4B8C69DC"/>
    <w:rsid w:val="4B932BB8"/>
    <w:rsid w:val="4B9E5618"/>
    <w:rsid w:val="4C0B10E1"/>
    <w:rsid w:val="4C1E270B"/>
    <w:rsid w:val="4C587AF2"/>
    <w:rsid w:val="4C644E61"/>
    <w:rsid w:val="4CBD221E"/>
    <w:rsid w:val="4CBE1F11"/>
    <w:rsid w:val="4CD40998"/>
    <w:rsid w:val="4CD82060"/>
    <w:rsid w:val="4D0805A5"/>
    <w:rsid w:val="4D212875"/>
    <w:rsid w:val="4D3E07AA"/>
    <w:rsid w:val="4D6B4AA2"/>
    <w:rsid w:val="4DDD53AD"/>
    <w:rsid w:val="4DF62707"/>
    <w:rsid w:val="4DF630E3"/>
    <w:rsid w:val="4E581666"/>
    <w:rsid w:val="4EA82245"/>
    <w:rsid w:val="4EB86532"/>
    <w:rsid w:val="4EBC7D13"/>
    <w:rsid w:val="4EEB25CF"/>
    <w:rsid w:val="4F180B72"/>
    <w:rsid w:val="4F321174"/>
    <w:rsid w:val="4F516A97"/>
    <w:rsid w:val="4F946CF5"/>
    <w:rsid w:val="4FE1061B"/>
    <w:rsid w:val="4FF060DC"/>
    <w:rsid w:val="4FFE4E45"/>
    <w:rsid w:val="5026608B"/>
    <w:rsid w:val="50684785"/>
    <w:rsid w:val="50A56159"/>
    <w:rsid w:val="51603CB9"/>
    <w:rsid w:val="516D145A"/>
    <w:rsid w:val="5196337F"/>
    <w:rsid w:val="51AF21F9"/>
    <w:rsid w:val="51C40C7B"/>
    <w:rsid w:val="523D083B"/>
    <w:rsid w:val="524F5082"/>
    <w:rsid w:val="527D1264"/>
    <w:rsid w:val="528662D1"/>
    <w:rsid w:val="52970563"/>
    <w:rsid w:val="52AD1941"/>
    <w:rsid w:val="52BC31C2"/>
    <w:rsid w:val="52E86944"/>
    <w:rsid w:val="53384CFE"/>
    <w:rsid w:val="53434308"/>
    <w:rsid w:val="53541A12"/>
    <w:rsid w:val="53560F47"/>
    <w:rsid w:val="537A1FBA"/>
    <w:rsid w:val="538B39A0"/>
    <w:rsid w:val="539D33F0"/>
    <w:rsid w:val="53A524E0"/>
    <w:rsid w:val="53C11DF6"/>
    <w:rsid w:val="53F160BF"/>
    <w:rsid w:val="5411183C"/>
    <w:rsid w:val="543B5443"/>
    <w:rsid w:val="54635E6B"/>
    <w:rsid w:val="54977F44"/>
    <w:rsid w:val="54C42F2D"/>
    <w:rsid w:val="552A3CFB"/>
    <w:rsid w:val="55AC0D33"/>
    <w:rsid w:val="55AD5391"/>
    <w:rsid w:val="55B34786"/>
    <w:rsid w:val="55BF00BC"/>
    <w:rsid w:val="55C24022"/>
    <w:rsid w:val="5615077B"/>
    <w:rsid w:val="562333F5"/>
    <w:rsid w:val="564568B7"/>
    <w:rsid w:val="565C54FE"/>
    <w:rsid w:val="56DB620A"/>
    <w:rsid w:val="56E731ED"/>
    <w:rsid w:val="56F269C8"/>
    <w:rsid w:val="57230737"/>
    <w:rsid w:val="57CA2632"/>
    <w:rsid w:val="57E9601D"/>
    <w:rsid w:val="57F66582"/>
    <w:rsid w:val="57F86A62"/>
    <w:rsid w:val="5858317B"/>
    <w:rsid w:val="58824384"/>
    <w:rsid w:val="588649F9"/>
    <w:rsid w:val="5888404F"/>
    <w:rsid w:val="58963339"/>
    <w:rsid w:val="58CE1615"/>
    <w:rsid w:val="58D61639"/>
    <w:rsid w:val="58EA643A"/>
    <w:rsid w:val="59030225"/>
    <w:rsid w:val="59070CEC"/>
    <w:rsid w:val="59193EC5"/>
    <w:rsid w:val="598039B8"/>
    <w:rsid w:val="59870472"/>
    <w:rsid w:val="598F2614"/>
    <w:rsid w:val="5A5C43CE"/>
    <w:rsid w:val="5A9B1372"/>
    <w:rsid w:val="5AE470D7"/>
    <w:rsid w:val="5B2B529F"/>
    <w:rsid w:val="5B417AB4"/>
    <w:rsid w:val="5BCE79F6"/>
    <w:rsid w:val="5BED0BE1"/>
    <w:rsid w:val="5BF65C6D"/>
    <w:rsid w:val="5BFE1F0E"/>
    <w:rsid w:val="5C123C78"/>
    <w:rsid w:val="5CA11838"/>
    <w:rsid w:val="5CB42BA8"/>
    <w:rsid w:val="5CC34E30"/>
    <w:rsid w:val="5D735167"/>
    <w:rsid w:val="5E394450"/>
    <w:rsid w:val="5E3E16BA"/>
    <w:rsid w:val="5E4A64C2"/>
    <w:rsid w:val="5E6023D7"/>
    <w:rsid w:val="5E675BA5"/>
    <w:rsid w:val="5EAE2963"/>
    <w:rsid w:val="5EB22BAB"/>
    <w:rsid w:val="5EBF1A7F"/>
    <w:rsid w:val="5F1D39D5"/>
    <w:rsid w:val="5F1F1B61"/>
    <w:rsid w:val="5F2F7F87"/>
    <w:rsid w:val="5F5B557E"/>
    <w:rsid w:val="5F8F6BEA"/>
    <w:rsid w:val="5F92791C"/>
    <w:rsid w:val="5F9F6F12"/>
    <w:rsid w:val="5FDE7BC3"/>
    <w:rsid w:val="603463A7"/>
    <w:rsid w:val="604030F9"/>
    <w:rsid w:val="60490185"/>
    <w:rsid w:val="60496D6F"/>
    <w:rsid w:val="60605BAC"/>
    <w:rsid w:val="606D0FAD"/>
    <w:rsid w:val="60B55DD5"/>
    <w:rsid w:val="6154579E"/>
    <w:rsid w:val="62154F79"/>
    <w:rsid w:val="627E48A2"/>
    <w:rsid w:val="62B72F47"/>
    <w:rsid w:val="62BE1E64"/>
    <w:rsid w:val="63355583"/>
    <w:rsid w:val="633F58A6"/>
    <w:rsid w:val="638D3C20"/>
    <w:rsid w:val="63B36C0C"/>
    <w:rsid w:val="63E61C76"/>
    <w:rsid w:val="64054C9A"/>
    <w:rsid w:val="644260BD"/>
    <w:rsid w:val="645967C2"/>
    <w:rsid w:val="647145D8"/>
    <w:rsid w:val="64C95114"/>
    <w:rsid w:val="64EC7E83"/>
    <w:rsid w:val="64F63CD8"/>
    <w:rsid w:val="64FF63E0"/>
    <w:rsid w:val="651416B1"/>
    <w:rsid w:val="65151ECC"/>
    <w:rsid w:val="654724C9"/>
    <w:rsid w:val="65AE37E0"/>
    <w:rsid w:val="65DD4C33"/>
    <w:rsid w:val="65E74C3F"/>
    <w:rsid w:val="662A1BBB"/>
    <w:rsid w:val="66375E83"/>
    <w:rsid w:val="663904A0"/>
    <w:rsid w:val="664B20E9"/>
    <w:rsid w:val="664F7AE6"/>
    <w:rsid w:val="666A0D54"/>
    <w:rsid w:val="66885F57"/>
    <w:rsid w:val="66BE1539"/>
    <w:rsid w:val="66D1570D"/>
    <w:rsid w:val="66FC2178"/>
    <w:rsid w:val="67A1307C"/>
    <w:rsid w:val="67FD60FF"/>
    <w:rsid w:val="681D225E"/>
    <w:rsid w:val="68452FDC"/>
    <w:rsid w:val="68A4383E"/>
    <w:rsid w:val="68D22F5A"/>
    <w:rsid w:val="697845B2"/>
    <w:rsid w:val="6A617017"/>
    <w:rsid w:val="6A7A5853"/>
    <w:rsid w:val="6A9421F2"/>
    <w:rsid w:val="6AB5142D"/>
    <w:rsid w:val="6AC00E5F"/>
    <w:rsid w:val="6AE75B16"/>
    <w:rsid w:val="6B0C658F"/>
    <w:rsid w:val="6B7001E8"/>
    <w:rsid w:val="6BBA5BE1"/>
    <w:rsid w:val="6BBF33BA"/>
    <w:rsid w:val="6BC952E4"/>
    <w:rsid w:val="6BF37163"/>
    <w:rsid w:val="6C013C52"/>
    <w:rsid w:val="6C2868A4"/>
    <w:rsid w:val="6C2A3146"/>
    <w:rsid w:val="6C4C0CB8"/>
    <w:rsid w:val="6CD559E6"/>
    <w:rsid w:val="6CD6478D"/>
    <w:rsid w:val="6D124381"/>
    <w:rsid w:val="6D3F274E"/>
    <w:rsid w:val="6D4740E4"/>
    <w:rsid w:val="6D6C1710"/>
    <w:rsid w:val="6D9C4393"/>
    <w:rsid w:val="6DA22D00"/>
    <w:rsid w:val="6E4E7D90"/>
    <w:rsid w:val="6E506811"/>
    <w:rsid w:val="6E644B81"/>
    <w:rsid w:val="6EB0658C"/>
    <w:rsid w:val="6F061723"/>
    <w:rsid w:val="6F12734A"/>
    <w:rsid w:val="6F262866"/>
    <w:rsid w:val="6F9604DF"/>
    <w:rsid w:val="6FB22F6B"/>
    <w:rsid w:val="6FBC3FB7"/>
    <w:rsid w:val="6FBF132B"/>
    <w:rsid w:val="70206DF3"/>
    <w:rsid w:val="703809D3"/>
    <w:rsid w:val="70710F4C"/>
    <w:rsid w:val="70837843"/>
    <w:rsid w:val="70D35CA6"/>
    <w:rsid w:val="70EE6D98"/>
    <w:rsid w:val="71230D83"/>
    <w:rsid w:val="71507FDC"/>
    <w:rsid w:val="71BF3502"/>
    <w:rsid w:val="71D45F6B"/>
    <w:rsid w:val="72205CFC"/>
    <w:rsid w:val="722966D8"/>
    <w:rsid w:val="7296631F"/>
    <w:rsid w:val="7297468D"/>
    <w:rsid w:val="732867D4"/>
    <w:rsid w:val="733D612F"/>
    <w:rsid w:val="73424B26"/>
    <w:rsid w:val="73852C46"/>
    <w:rsid w:val="738A3D5C"/>
    <w:rsid w:val="73BE0FBF"/>
    <w:rsid w:val="73C67F66"/>
    <w:rsid w:val="741A5388"/>
    <w:rsid w:val="74B922B7"/>
    <w:rsid w:val="74C87E25"/>
    <w:rsid w:val="74D22BD0"/>
    <w:rsid w:val="75517C5B"/>
    <w:rsid w:val="755D0DC8"/>
    <w:rsid w:val="75A17B08"/>
    <w:rsid w:val="75A9656A"/>
    <w:rsid w:val="75B64ECC"/>
    <w:rsid w:val="75C31128"/>
    <w:rsid w:val="75EF420F"/>
    <w:rsid w:val="75F33817"/>
    <w:rsid w:val="763F7A2C"/>
    <w:rsid w:val="76411D1C"/>
    <w:rsid w:val="76E82E18"/>
    <w:rsid w:val="76EA3EA2"/>
    <w:rsid w:val="771E387C"/>
    <w:rsid w:val="774619DC"/>
    <w:rsid w:val="77555AD4"/>
    <w:rsid w:val="777122B2"/>
    <w:rsid w:val="77A95CDF"/>
    <w:rsid w:val="77D32D21"/>
    <w:rsid w:val="78424BD9"/>
    <w:rsid w:val="787F5B7E"/>
    <w:rsid w:val="78A648FD"/>
    <w:rsid w:val="78B94EA1"/>
    <w:rsid w:val="790A4955"/>
    <w:rsid w:val="792802D4"/>
    <w:rsid w:val="793014C6"/>
    <w:rsid w:val="79491335"/>
    <w:rsid w:val="795B5D7C"/>
    <w:rsid w:val="796219BB"/>
    <w:rsid w:val="79677B49"/>
    <w:rsid w:val="79A94D1C"/>
    <w:rsid w:val="7A622655"/>
    <w:rsid w:val="7AB46BDC"/>
    <w:rsid w:val="7ABE483D"/>
    <w:rsid w:val="7AFE4A01"/>
    <w:rsid w:val="7B12441B"/>
    <w:rsid w:val="7B1471FD"/>
    <w:rsid w:val="7B2940A0"/>
    <w:rsid w:val="7B29461C"/>
    <w:rsid w:val="7B3771B5"/>
    <w:rsid w:val="7B4F5E48"/>
    <w:rsid w:val="7BAB53F3"/>
    <w:rsid w:val="7BE95A45"/>
    <w:rsid w:val="7C4F209B"/>
    <w:rsid w:val="7C81350B"/>
    <w:rsid w:val="7CD90F37"/>
    <w:rsid w:val="7CE457B1"/>
    <w:rsid w:val="7CFC535A"/>
    <w:rsid w:val="7D0067A0"/>
    <w:rsid w:val="7D360A1A"/>
    <w:rsid w:val="7D363EB1"/>
    <w:rsid w:val="7D6729A1"/>
    <w:rsid w:val="7D6B422D"/>
    <w:rsid w:val="7D7676FA"/>
    <w:rsid w:val="7D834D76"/>
    <w:rsid w:val="7D8F021D"/>
    <w:rsid w:val="7E021846"/>
    <w:rsid w:val="7E1267F3"/>
    <w:rsid w:val="7E292D8B"/>
    <w:rsid w:val="7E4F1946"/>
    <w:rsid w:val="7E65736C"/>
    <w:rsid w:val="7E765088"/>
    <w:rsid w:val="7E7B0FA6"/>
    <w:rsid w:val="7F466DB8"/>
    <w:rsid w:val="7F544A77"/>
    <w:rsid w:val="7F5665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qFormat/>
    <w:uiPriority w:val="0"/>
    <w:pPr>
      <w:keepNext/>
      <w:keepLines/>
      <w:spacing w:line="413" w:lineRule="auto"/>
      <w:outlineLvl w:val="2"/>
    </w:pPr>
    <w:rPr>
      <w:b/>
      <w:sz w:val="32"/>
    </w:rPr>
  </w:style>
  <w:style w:type="character" w:default="1" w:styleId="13">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Document Map"/>
    <w:basedOn w:val="1"/>
    <w:link w:val="22"/>
    <w:unhideWhenUsed/>
    <w:qFormat/>
    <w:uiPriority w:val="0"/>
    <w:rPr>
      <w:rFonts w:ascii="宋体"/>
      <w:sz w:val="18"/>
      <w:szCs w:val="18"/>
    </w:rPr>
  </w:style>
  <w:style w:type="paragraph" w:styleId="5">
    <w:name w:val="annotation text"/>
    <w:basedOn w:val="1"/>
    <w:link w:val="25"/>
    <w:qFormat/>
    <w:uiPriority w:val="0"/>
    <w:pPr>
      <w:jc w:val="left"/>
    </w:pPr>
  </w:style>
  <w:style w:type="paragraph" w:styleId="6">
    <w:name w:val="Balloon Text"/>
    <w:basedOn w:val="1"/>
    <w:link w:val="24"/>
    <w:qFormat/>
    <w:uiPriority w:val="0"/>
    <w:rPr>
      <w:rFonts w:ascii="Times New Roman" w:hAnsi="Times New Roman"/>
      <w:sz w:val="18"/>
      <w:szCs w:val="18"/>
    </w:rPr>
  </w:style>
  <w:style w:type="paragraph" w:styleId="7">
    <w:name w:val="footer"/>
    <w:basedOn w:val="1"/>
    <w:link w:val="30"/>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link w:val="3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9">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0">
    <w:name w:val="annotation subject"/>
    <w:basedOn w:val="5"/>
    <w:next w:val="5"/>
    <w:link w:val="23"/>
    <w:qFormat/>
    <w:uiPriority w:val="0"/>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rPr>
  </w:style>
  <w:style w:type="character" w:styleId="15">
    <w:name w:val="Emphasis"/>
    <w:qFormat/>
    <w:uiPriority w:val="20"/>
    <w:rPr>
      <w:i/>
      <w:iCs/>
    </w:rPr>
  </w:style>
  <w:style w:type="character" w:styleId="16">
    <w:name w:val="Hyperlink"/>
    <w:qFormat/>
    <w:uiPriority w:val="0"/>
    <w:rPr>
      <w:color w:val="0563C1"/>
      <w:u w:val="single"/>
    </w:rPr>
  </w:style>
  <w:style w:type="character" w:styleId="17">
    <w:name w:val="annotation reference"/>
    <w:qFormat/>
    <w:uiPriority w:val="0"/>
    <w:rPr>
      <w:sz w:val="21"/>
      <w:szCs w:val="21"/>
    </w:rPr>
  </w:style>
  <w:style w:type="character" w:customStyle="1" w:styleId="18">
    <w:name w:val="表格 Char"/>
    <w:link w:val="19"/>
    <w:qFormat/>
    <w:uiPriority w:val="0"/>
    <w:rPr>
      <w:rFonts w:ascii="宋体" w:hAnsi="宋体"/>
      <w:color w:val="000000"/>
      <w:kern w:val="2"/>
      <w:sz w:val="21"/>
      <w:szCs w:val="21"/>
    </w:rPr>
  </w:style>
  <w:style w:type="paragraph" w:customStyle="1" w:styleId="19">
    <w:name w:val="表格"/>
    <w:basedOn w:val="1"/>
    <w:link w:val="18"/>
    <w:qFormat/>
    <w:uiPriority w:val="0"/>
    <w:pPr>
      <w:jc w:val="center"/>
    </w:pPr>
    <w:rPr>
      <w:rFonts w:ascii="宋体" w:hAnsi="宋体"/>
      <w:color w:val="000000"/>
      <w:szCs w:val="21"/>
    </w:rPr>
  </w:style>
  <w:style w:type="character" w:customStyle="1" w:styleId="20">
    <w:name w:val="005 文 Char"/>
    <w:link w:val="21"/>
    <w:qFormat/>
    <w:uiPriority w:val="0"/>
    <w:rPr>
      <w:kern w:val="2"/>
      <w:sz w:val="24"/>
      <w:szCs w:val="24"/>
    </w:rPr>
  </w:style>
  <w:style w:type="paragraph" w:customStyle="1" w:styleId="21">
    <w:name w:val="005 文"/>
    <w:basedOn w:val="1"/>
    <w:link w:val="20"/>
    <w:qFormat/>
    <w:uiPriority w:val="0"/>
    <w:pPr>
      <w:spacing w:beforeLines="50" w:after="100" w:afterAutospacing="1" w:line="360" w:lineRule="auto"/>
      <w:ind w:firstLine="200" w:firstLineChars="200"/>
    </w:pPr>
    <w:rPr>
      <w:rFonts w:ascii="Times New Roman" w:hAnsi="Times New Roman"/>
      <w:sz w:val="24"/>
    </w:rPr>
  </w:style>
  <w:style w:type="character" w:customStyle="1" w:styleId="22">
    <w:name w:val="文档结构图 字符"/>
    <w:link w:val="4"/>
    <w:semiHidden/>
    <w:qFormat/>
    <w:uiPriority w:val="0"/>
    <w:rPr>
      <w:rFonts w:ascii="宋体" w:hAnsi="Calibri"/>
      <w:kern w:val="2"/>
      <w:sz w:val="18"/>
      <w:szCs w:val="18"/>
    </w:rPr>
  </w:style>
  <w:style w:type="character" w:customStyle="1" w:styleId="23">
    <w:name w:val="批注主题 字符"/>
    <w:link w:val="10"/>
    <w:qFormat/>
    <w:uiPriority w:val="0"/>
    <w:rPr>
      <w:rFonts w:ascii="Calibri" w:hAnsi="Calibri" w:eastAsia="宋体" w:cs="Times New Roman"/>
      <w:b/>
      <w:bCs/>
      <w:kern w:val="2"/>
      <w:sz w:val="21"/>
      <w:szCs w:val="24"/>
    </w:rPr>
  </w:style>
  <w:style w:type="character" w:customStyle="1" w:styleId="24">
    <w:name w:val="批注框文本 字符"/>
    <w:link w:val="6"/>
    <w:qFormat/>
    <w:uiPriority w:val="0"/>
    <w:rPr>
      <w:kern w:val="2"/>
      <w:sz w:val="18"/>
      <w:szCs w:val="18"/>
    </w:rPr>
  </w:style>
  <w:style w:type="character" w:customStyle="1" w:styleId="25">
    <w:name w:val="批注文字 字符"/>
    <w:link w:val="5"/>
    <w:qFormat/>
    <w:uiPriority w:val="0"/>
    <w:rPr>
      <w:rFonts w:ascii="Calibri" w:hAnsi="Calibri" w:eastAsia="宋体" w:cs="Times New Roman"/>
      <w:kern w:val="2"/>
      <w:sz w:val="21"/>
      <w:szCs w:val="24"/>
    </w:rPr>
  </w:style>
  <w:style w:type="character" w:customStyle="1" w:styleId="26">
    <w:name w:val="font41"/>
    <w:qFormat/>
    <w:uiPriority w:val="0"/>
    <w:rPr>
      <w:rFonts w:hint="eastAsia" w:ascii="仿宋_GB2312" w:eastAsia="仿宋_GB2312" w:cs="仿宋_GB2312"/>
      <w:color w:val="000000"/>
      <w:sz w:val="22"/>
      <w:szCs w:val="22"/>
      <w:u w:val="none"/>
    </w:rPr>
  </w:style>
  <w:style w:type="character" w:customStyle="1" w:styleId="27">
    <w:name w:val="font11"/>
    <w:qFormat/>
    <w:uiPriority w:val="0"/>
    <w:rPr>
      <w:rFonts w:hint="eastAsia" w:ascii="宋体" w:hAnsi="宋体" w:eastAsia="宋体" w:cs="宋体"/>
      <w:color w:val="000000"/>
      <w:sz w:val="22"/>
      <w:szCs w:val="22"/>
      <w:u w:val="none"/>
    </w:rPr>
  </w:style>
  <w:style w:type="character" w:customStyle="1" w:styleId="28">
    <w:name w:val="006 左 Char"/>
    <w:link w:val="29"/>
    <w:qFormat/>
    <w:uiPriority w:val="0"/>
    <w:rPr>
      <w:kern w:val="2"/>
      <w:sz w:val="21"/>
      <w:szCs w:val="22"/>
      <w:lang w:val="en-US" w:eastAsia="zh-CN" w:bidi="ar-SA"/>
    </w:rPr>
  </w:style>
  <w:style w:type="paragraph" w:customStyle="1" w:styleId="29">
    <w:name w:val="006 左"/>
    <w:link w:val="28"/>
    <w:qFormat/>
    <w:uiPriority w:val="0"/>
    <w:rPr>
      <w:rFonts w:ascii="Times New Roman" w:hAnsi="Times New Roman" w:eastAsia="宋体" w:cs="Times New Roman"/>
      <w:kern w:val="2"/>
      <w:sz w:val="21"/>
      <w:szCs w:val="22"/>
      <w:lang w:val="en-US" w:eastAsia="zh-CN" w:bidi="ar-SA"/>
    </w:rPr>
  </w:style>
  <w:style w:type="character" w:customStyle="1" w:styleId="30">
    <w:name w:val="页脚 字符"/>
    <w:link w:val="7"/>
    <w:qFormat/>
    <w:uiPriority w:val="0"/>
    <w:rPr>
      <w:kern w:val="2"/>
      <w:sz w:val="18"/>
      <w:szCs w:val="18"/>
    </w:rPr>
  </w:style>
  <w:style w:type="character" w:customStyle="1" w:styleId="31">
    <w:name w:val="页眉 字符"/>
    <w:link w:val="8"/>
    <w:qFormat/>
    <w:uiPriority w:val="0"/>
    <w:rPr>
      <w:kern w:val="2"/>
      <w:sz w:val="18"/>
      <w:szCs w:val="18"/>
    </w:rPr>
  </w:style>
  <w:style w:type="paragraph" w:styleId="32">
    <w:name w:val="List Paragraph"/>
    <w:basedOn w:val="1"/>
    <w:qFormat/>
    <w:uiPriority w:val="34"/>
    <w:pPr>
      <w:ind w:firstLine="420" w:firstLineChars="200"/>
    </w:pPr>
  </w:style>
  <w:style w:type="paragraph" w:customStyle="1" w:styleId="33">
    <w:name w:val="正文10"/>
    <w:qFormat/>
    <w:uiPriority w:val="0"/>
    <w:pPr>
      <w:ind w:firstLine="480" w:firstLineChars="200"/>
      <w:jc w:val="both"/>
    </w:pPr>
    <w:rPr>
      <w:rFonts w:ascii="Times New Roman" w:hAnsi="Times New Roman" w:eastAsia="宋体" w:cs="Times New Roman"/>
      <w:kern w:val="2"/>
      <w:sz w:val="21"/>
      <w:szCs w:val="21"/>
      <w:lang w:val="en-US" w:eastAsia="zh-CN" w:bidi="ar-SA"/>
    </w:rPr>
  </w:style>
  <w:style w:type="paragraph" w:customStyle="1" w:styleId="34">
    <w:name w:val="List Paragraph1"/>
    <w:basedOn w:val="1"/>
    <w:qFormat/>
    <w:uiPriority w:val="99"/>
    <w:pPr>
      <w:ind w:firstLine="420" w:firstLineChars="200"/>
    </w:pPr>
  </w:style>
  <w:style w:type="paragraph" w:customStyle="1" w:styleId="35">
    <w:name w:val="008  中粗"/>
    <w:qFormat/>
    <w:uiPriority w:val="0"/>
    <w:pPr>
      <w:snapToGrid w:val="0"/>
      <w:jc w:val="center"/>
    </w:pPr>
    <w:rPr>
      <w:rFonts w:ascii="Times New Roman" w:hAnsi="Times New Roman" w:eastAsia="宋体" w:cs="Arial"/>
      <w:b/>
      <w:kern w:val="2"/>
      <w:sz w:val="21"/>
      <w:szCs w:val="21"/>
      <w:lang w:val="en-US" w:eastAsia="zh-CN" w:bidi="ar-SA"/>
    </w:rPr>
  </w:style>
  <w:style w:type="paragraph" w:customStyle="1" w:styleId="36">
    <w:name w:val="列出段落2"/>
    <w:basedOn w:val="1"/>
    <w:qFormat/>
    <w:uiPriority w:val="0"/>
    <w:pPr>
      <w:ind w:firstLine="420" w:firstLineChars="200"/>
    </w:pPr>
    <w:rPr>
      <w:rFonts w:ascii="Calibri" w:hAnsi="Calibri" w:eastAsia="宋体" w:cs="Times New Roman"/>
      <w:szCs w:val="21"/>
    </w:rPr>
  </w:style>
  <w:style w:type="paragraph" w:customStyle="1" w:styleId="37">
    <w:name w:val="004"/>
    <w:basedOn w:val="1"/>
    <w:qFormat/>
    <w:uiPriority w:val="0"/>
    <w:pPr>
      <w:keepNext/>
      <w:widowControl/>
      <w:spacing w:line="360" w:lineRule="auto"/>
      <w:ind w:firstLine="200" w:firstLineChars="200"/>
      <w:jc w:val="left"/>
    </w:pPr>
    <w:rPr>
      <w:rFonts w:ascii="Times New Roman" w:hAnsi="Times New Roman" w:eastAsia="宋体" w:cs="Times New Roman"/>
      <w:b/>
      <w:bCs/>
      <w:sz w:val="24"/>
    </w:rPr>
  </w:style>
  <w:style w:type="paragraph" w:customStyle="1" w:styleId="38">
    <w:name w:val="列出段落1"/>
    <w:basedOn w:val="1"/>
    <w:unhideWhenUsed/>
    <w:qFormat/>
    <w:uiPriority w:val="99"/>
    <w:pPr>
      <w:ind w:firstLine="420" w:firstLineChars="200"/>
    </w:pPr>
  </w:style>
  <w:style w:type="paragraph" w:customStyle="1" w:styleId="39">
    <w:name w:val="_Style 38"/>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2">
    <w:name w:val="样式1"/>
    <w:basedOn w:val="1"/>
    <w:qFormat/>
    <w:uiPriority w:val="0"/>
    <w:pPr>
      <w:tabs>
        <w:tab w:val="left" w:pos="420"/>
      </w:tabs>
      <w:spacing w:beforeLines="0" w:afterLines="0"/>
      <w:ind w:firstLine="480" w:firstLineChars="200"/>
      <w:jc w:val="left"/>
    </w:pPr>
    <w:rPr>
      <w:rFonts w:hint="eastAsia" w:ascii="仿宋_GB2312" w:hAnsi="仿宋_GB2312" w:eastAsia="仿宋_GB2312" w:cs="仿宋_GB2312"/>
      <w:sz w:val="24"/>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2675</Words>
  <Characters>2775</Characters>
  <Lines>19</Lines>
  <Paragraphs>5</Paragraphs>
  <TotalTime>44</TotalTime>
  <ScaleCrop>false</ScaleCrop>
  <LinksUpToDate>false</LinksUpToDate>
  <CharactersWithSpaces>2796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2024-08-16T12:21:00Z</dcterms:created>
  <dc:creator>li</dc:creator>
  <cp:lastModifiedBy>Administrator</cp:lastModifiedBy>
  <cp:lastPrinted>2025-09-01T07:23:00Z</cp:lastPrinted>
  <dcterms:modified xsi:type="dcterms:W3CDTF">2025-11-07T01:33:14Z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57935DBF11974307BA0C7CBE660517E6_13</vt:lpwstr>
  </property>
  <property fmtid="{D5CDD505-2E9C-101B-9397-08002B2CF9AE}" pid="4" name="KSOTemplateDocerSaveRecord">
    <vt:lpwstr>eyJoZGlkIjoiODg1MGI3ZGU5YmM2MDNkMzgzNmFkOTgzYTM4MWY4MzEifQ==</vt:lpwstr>
  </property>
</Properties>
</file>