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0442">
      <w:pPr>
        <w:rPr>
          <w:rFonts w:ascii="宋体" w:hAnsi="宋体" w:eastAsia="宋体" w:cs="宋体"/>
          <w:b/>
          <w:sz w:val="24"/>
        </w:rPr>
      </w:pPr>
      <w:r>
        <w:rPr>
          <w:rFonts w:hint="eastAsia" w:ascii="宋体" w:hAnsi="宋体" w:eastAsia="宋体" w:cs="宋体"/>
          <w:b/>
          <w:sz w:val="24"/>
        </w:rPr>
        <w:t>证券代码：600222                                   证券简称：太龙药业</w:t>
      </w:r>
    </w:p>
    <w:p w14:paraId="57E127ED"/>
    <w:p w14:paraId="115CB948">
      <w:pPr>
        <w:jc w:val="center"/>
        <w:rPr>
          <w:rFonts w:ascii="黑体" w:hAnsi="黑体" w:eastAsia="黑体"/>
          <w:sz w:val="32"/>
        </w:rPr>
      </w:pPr>
      <w:r>
        <w:rPr>
          <w:rFonts w:ascii="黑体" w:hAnsi="黑体" w:eastAsia="黑体"/>
          <w:sz w:val="32"/>
        </w:rPr>
        <w:t>河南太龙药业股份有限公司</w:t>
      </w:r>
    </w:p>
    <w:p w14:paraId="51FE787C">
      <w:pPr>
        <w:jc w:val="center"/>
        <w:rPr>
          <w:rFonts w:ascii="黑体" w:hAnsi="黑体" w:eastAsia="黑体"/>
          <w:sz w:val="32"/>
        </w:rPr>
      </w:pPr>
      <w:r>
        <w:rPr>
          <w:rFonts w:ascii="黑体" w:hAnsi="黑体" w:eastAsia="黑体"/>
          <w:sz w:val="32"/>
        </w:rPr>
        <w:t>投资者关系活动记录表</w:t>
      </w:r>
    </w:p>
    <w:p w14:paraId="2EDAE1C9">
      <w:pPr>
        <w:jc w:val="center"/>
        <w:rPr>
          <w:rFonts w:ascii="黑体" w:hAnsi="黑体" w:eastAsia="黑体"/>
          <w:sz w:val="32"/>
        </w:rPr>
      </w:pPr>
      <w:r>
        <w:rPr>
          <w:rFonts w:ascii="黑体" w:hAnsi="黑体" w:eastAsia="黑体"/>
          <w:sz w:val="32"/>
        </w:rPr>
        <w:t>（</w:t>
      </w:r>
      <w:r>
        <w:rPr>
          <w:rFonts w:hint="eastAsia" w:ascii="黑体" w:hAnsi="黑体" w:eastAsia="黑体"/>
          <w:sz w:val="32"/>
        </w:rPr>
        <w:t>2</w:t>
      </w:r>
      <w:r>
        <w:rPr>
          <w:rFonts w:ascii="黑体" w:hAnsi="黑体" w:eastAsia="黑体"/>
          <w:sz w:val="32"/>
        </w:rPr>
        <w:t>02</w:t>
      </w:r>
      <w:r>
        <w:rPr>
          <w:rFonts w:hint="eastAsia" w:ascii="黑体" w:hAnsi="黑体" w:eastAsia="黑体"/>
          <w:sz w:val="32"/>
        </w:rPr>
        <w:t>5</w:t>
      </w:r>
      <w:r>
        <w:rPr>
          <w:rFonts w:ascii="黑体" w:hAnsi="黑体" w:eastAsia="黑体"/>
          <w:sz w:val="32"/>
        </w:rPr>
        <w:t>年</w:t>
      </w:r>
      <w:r>
        <w:rPr>
          <w:rFonts w:hint="default" w:ascii="黑体" w:hAnsi="黑体" w:eastAsia="黑体"/>
          <w:sz w:val="32"/>
          <w:lang w:val="en-US"/>
        </w:rPr>
        <w:t>11</w:t>
      </w:r>
      <w:r>
        <w:rPr>
          <w:rFonts w:hint="eastAsia" w:ascii="黑体" w:hAnsi="黑体" w:eastAsia="黑体"/>
          <w:sz w:val="32"/>
        </w:rPr>
        <w:t>月</w:t>
      </w:r>
      <w:r>
        <w:rPr>
          <w:rFonts w:ascii="黑体" w:hAnsi="黑体" w:eastAsia="黑体"/>
          <w:sz w:val="32"/>
        </w:rPr>
        <w:t>）</w:t>
      </w:r>
    </w:p>
    <w:p w14:paraId="61971809"/>
    <w:tbl>
      <w:tblPr>
        <w:tblStyle w:val="11"/>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8363"/>
      </w:tblGrid>
      <w:tr w14:paraId="746E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986" w:type="dxa"/>
            <w:vAlign w:val="center"/>
          </w:tcPr>
          <w:p w14:paraId="09A53B3B">
            <w:pPr>
              <w:jc w:val="center"/>
              <w:rPr>
                <w:sz w:val="28"/>
              </w:rPr>
            </w:pPr>
            <w:r>
              <w:rPr>
                <w:sz w:val="28"/>
              </w:rPr>
              <w:t>投资者关系</w:t>
            </w:r>
          </w:p>
          <w:p w14:paraId="7E3633DA">
            <w:pPr>
              <w:jc w:val="center"/>
              <w:rPr>
                <w:sz w:val="28"/>
              </w:rPr>
            </w:pPr>
            <w:r>
              <w:rPr>
                <w:sz w:val="28"/>
              </w:rPr>
              <w:t>活动类别</w:t>
            </w:r>
          </w:p>
        </w:tc>
        <w:tc>
          <w:tcPr>
            <w:tcW w:w="8363" w:type="dxa"/>
          </w:tcPr>
          <w:p w14:paraId="237BB954">
            <w:pPr>
              <w:pStyle w:val="14"/>
              <w:jc w:val="both"/>
              <w:rPr>
                <w:rFonts w:hAnsi="Times New Roman"/>
                <w:sz w:val="28"/>
              </w:rPr>
            </w:pPr>
            <w:r>
              <w:rPr>
                <w:rFonts w:hint="eastAsia" w:hAnsi="Times New Roman"/>
                <w:sz w:val="28"/>
              </w:rPr>
              <w:t xml:space="preserve">□特定对象调研     </w:t>
            </w:r>
            <w:r>
              <w:rPr>
                <w:rFonts w:hint="eastAsia" w:hAnsi="Times New Roman"/>
                <w:color w:val="auto"/>
                <w:sz w:val="28"/>
              </w:rPr>
              <w:t xml:space="preserve"> </w:t>
            </w:r>
            <w:r>
              <w:rPr>
                <w:rFonts w:hint="eastAsia" w:hAnsi="Times New Roman"/>
                <w:sz w:val="28"/>
              </w:rPr>
              <w:t>□分析师会议</w:t>
            </w:r>
          </w:p>
          <w:p w14:paraId="390FE71A">
            <w:pPr>
              <w:pStyle w:val="14"/>
              <w:jc w:val="both"/>
              <w:rPr>
                <w:rFonts w:hAnsi="Times New Roman"/>
                <w:sz w:val="28"/>
              </w:rPr>
            </w:pPr>
            <w:r>
              <w:rPr>
                <w:rFonts w:hint="eastAsia" w:hAnsi="Times New Roman"/>
                <w:sz w:val="28"/>
              </w:rPr>
              <w:t xml:space="preserve">□媒体采访          </w:t>
            </w:r>
            <w:r>
              <w:rPr>
                <w:rFonts w:hint="eastAsia" w:asciiTheme="minorEastAsia" w:hAnsiTheme="minorEastAsia" w:eastAsiaTheme="minorEastAsia"/>
                <w:sz w:val="28"/>
              </w:rPr>
              <w:t>√</w:t>
            </w:r>
            <w:r>
              <w:rPr>
                <w:rFonts w:hint="eastAsia" w:hAnsi="Times New Roman"/>
                <w:sz w:val="28"/>
              </w:rPr>
              <w:t>业绩说明会</w:t>
            </w:r>
          </w:p>
          <w:p w14:paraId="0F578CFC">
            <w:pPr>
              <w:pStyle w:val="14"/>
              <w:jc w:val="both"/>
              <w:rPr>
                <w:rFonts w:hAnsi="Times New Roman"/>
                <w:sz w:val="28"/>
              </w:rPr>
            </w:pPr>
            <w:r>
              <w:rPr>
                <w:rFonts w:hint="eastAsia" w:hAnsi="Times New Roman"/>
                <w:sz w:val="28"/>
              </w:rPr>
              <w:t>□新闻发布会        □路演活动</w:t>
            </w:r>
          </w:p>
          <w:p w14:paraId="3EC78576">
            <w:pPr>
              <w:pStyle w:val="14"/>
              <w:jc w:val="both"/>
              <w:rPr>
                <w:rFonts w:hAnsi="Times New Roman"/>
                <w:sz w:val="28"/>
              </w:rPr>
            </w:pPr>
            <w:r>
              <w:rPr>
                <w:rFonts w:hint="eastAsia" w:hAnsi="Times New Roman"/>
                <w:sz w:val="28"/>
              </w:rPr>
              <w:t>□现场参观          □</w:t>
            </w:r>
            <w:r>
              <w:rPr>
                <w:rFonts w:hint="eastAsia" w:asciiTheme="minorEastAsia" w:hAnsiTheme="minorEastAsia" w:eastAsiaTheme="minorEastAsia"/>
                <w:sz w:val="28"/>
              </w:rPr>
              <w:t>电话会议</w:t>
            </w:r>
          </w:p>
          <w:p w14:paraId="74717964">
            <w:pPr>
              <w:pStyle w:val="14"/>
              <w:jc w:val="both"/>
              <w:rPr>
                <w:rFonts w:hAnsi="Times New Roman"/>
                <w:sz w:val="28"/>
                <w:u w:val="single"/>
              </w:rPr>
            </w:pPr>
            <w:r>
              <w:rPr>
                <w:rFonts w:hint="eastAsia" w:hAnsi="Times New Roman"/>
                <w:sz w:val="28"/>
              </w:rPr>
              <w:t>□其他</w:t>
            </w:r>
            <w:r>
              <w:rPr>
                <w:rFonts w:hint="eastAsia" w:hAnsi="Times New Roman"/>
                <w:sz w:val="28"/>
                <w:u w:val="single"/>
              </w:rPr>
              <w:t xml:space="preserve"> </w:t>
            </w:r>
            <w:r>
              <w:rPr>
                <w:rFonts w:hAnsi="Times New Roman"/>
                <w:sz w:val="28"/>
                <w:u w:val="single"/>
              </w:rPr>
              <w:t xml:space="preserve">             </w:t>
            </w:r>
          </w:p>
        </w:tc>
      </w:tr>
      <w:tr w14:paraId="6346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4AD84AD1">
            <w:pPr>
              <w:jc w:val="center"/>
              <w:rPr>
                <w:sz w:val="28"/>
              </w:rPr>
            </w:pPr>
            <w:r>
              <w:rPr>
                <w:sz w:val="28"/>
              </w:rPr>
              <w:t>会议时间</w:t>
            </w:r>
          </w:p>
        </w:tc>
        <w:tc>
          <w:tcPr>
            <w:tcW w:w="8363" w:type="dxa"/>
          </w:tcPr>
          <w:p w14:paraId="73A82FD4">
            <w:r>
              <w:rPr>
                <w:rFonts w:hint="eastAsia" w:asciiTheme="minorEastAsia" w:hAnsiTheme="minorEastAsia"/>
                <w:sz w:val="28"/>
              </w:rPr>
              <w:t>2025年</w:t>
            </w:r>
            <w:r>
              <w:rPr>
                <w:rFonts w:hint="default" w:asciiTheme="minorEastAsia" w:hAnsiTheme="minorEastAsia"/>
                <w:sz w:val="28"/>
                <w:lang w:val="en-US"/>
              </w:rPr>
              <w:t>11</w:t>
            </w:r>
            <w:r>
              <w:rPr>
                <w:rFonts w:hint="eastAsia" w:asciiTheme="minorEastAsia" w:hAnsiTheme="minorEastAsia"/>
                <w:sz w:val="28"/>
              </w:rPr>
              <w:t>月7日上午11:00-12:00</w:t>
            </w:r>
            <w:r>
              <w:rPr>
                <w:rFonts w:asciiTheme="minorEastAsia" w:hAnsiTheme="minorEastAsia"/>
                <w:sz w:val="28"/>
              </w:rPr>
              <w:t xml:space="preserve">  公司</w:t>
            </w:r>
            <w:r>
              <w:rPr>
                <w:rFonts w:hint="eastAsia" w:asciiTheme="minorEastAsia" w:hAnsiTheme="minorEastAsia"/>
                <w:sz w:val="28"/>
              </w:rPr>
              <w:t>2025年第三季度业绩暨现金分红说明会</w:t>
            </w:r>
          </w:p>
        </w:tc>
      </w:tr>
      <w:tr w14:paraId="157D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986" w:type="dxa"/>
            <w:vAlign w:val="center"/>
          </w:tcPr>
          <w:p w14:paraId="4762D3C2">
            <w:pPr>
              <w:jc w:val="center"/>
              <w:rPr>
                <w:sz w:val="28"/>
              </w:rPr>
            </w:pPr>
            <w:r>
              <w:rPr>
                <w:sz w:val="28"/>
              </w:rPr>
              <w:t>会议地点</w:t>
            </w:r>
          </w:p>
        </w:tc>
        <w:tc>
          <w:tcPr>
            <w:tcW w:w="8363" w:type="dxa"/>
            <w:vAlign w:val="center"/>
          </w:tcPr>
          <w:p w14:paraId="698146DF">
            <w:pPr>
              <w:widowControl/>
              <w:rPr>
                <w:rFonts w:asciiTheme="minorEastAsia" w:hAnsiTheme="minorEastAsia"/>
                <w:sz w:val="28"/>
              </w:rPr>
            </w:pPr>
            <w:r>
              <w:rPr>
                <w:rFonts w:hint="eastAsia" w:asciiTheme="minorEastAsia" w:hAnsiTheme="minorEastAsia"/>
                <w:sz w:val="28"/>
              </w:rPr>
              <w:t>上海证券交易所上证路演中心：https://roadshow.sseinfo.com/</w:t>
            </w:r>
          </w:p>
        </w:tc>
      </w:tr>
      <w:tr w14:paraId="6821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51B43578">
            <w:pPr>
              <w:jc w:val="center"/>
              <w:rPr>
                <w:sz w:val="28"/>
              </w:rPr>
            </w:pPr>
            <w:r>
              <w:rPr>
                <w:sz w:val="28"/>
              </w:rPr>
              <w:t>参与单位名称或人员姓名</w:t>
            </w:r>
          </w:p>
        </w:tc>
        <w:tc>
          <w:tcPr>
            <w:tcW w:w="8363" w:type="dxa"/>
            <w:vAlign w:val="center"/>
          </w:tcPr>
          <w:p w14:paraId="4067DE40">
            <w:pPr>
              <w:rPr>
                <w:rFonts w:asciiTheme="minorEastAsia" w:hAnsiTheme="minorEastAsia"/>
                <w:sz w:val="28"/>
              </w:rPr>
            </w:pPr>
            <w:r>
              <w:rPr>
                <w:rFonts w:hint="eastAsia" w:asciiTheme="minorEastAsia" w:hAnsiTheme="minorEastAsia"/>
                <w:sz w:val="28"/>
                <w:szCs w:val="24"/>
              </w:rPr>
              <w:t>公司2025年第三季度业绩暨现金分红说明会参与单位及人员为通过上证路演中心参与业绩说明会的广大投资者</w:t>
            </w:r>
          </w:p>
        </w:tc>
      </w:tr>
      <w:tr w14:paraId="486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986" w:type="dxa"/>
            <w:vAlign w:val="center"/>
          </w:tcPr>
          <w:p w14:paraId="2C9DD5D5">
            <w:pPr>
              <w:jc w:val="center"/>
              <w:rPr>
                <w:sz w:val="28"/>
              </w:rPr>
            </w:pPr>
            <w:r>
              <w:rPr>
                <w:sz w:val="28"/>
              </w:rPr>
              <w:t>上市公司</w:t>
            </w:r>
          </w:p>
          <w:p w14:paraId="6EDBC833">
            <w:pPr>
              <w:jc w:val="center"/>
              <w:rPr>
                <w:sz w:val="28"/>
              </w:rPr>
            </w:pPr>
            <w:r>
              <w:rPr>
                <w:sz w:val="28"/>
              </w:rPr>
              <w:t>接待人员</w:t>
            </w:r>
          </w:p>
        </w:tc>
        <w:tc>
          <w:tcPr>
            <w:tcW w:w="8363" w:type="dxa"/>
            <w:vAlign w:val="center"/>
          </w:tcPr>
          <w:p w14:paraId="1771AFBE">
            <w:pPr>
              <w:pStyle w:val="14"/>
              <w:tabs>
                <w:tab w:val="left" w:pos="675"/>
              </w:tabs>
              <w:spacing w:line="312" w:lineRule="auto"/>
              <w:jc w:val="both"/>
              <w:rPr>
                <w:rFonts w:asciiTheme="minorEastAsia" w:hAnsiTheme="minorEastAsia" w:eastAsiaTheme="minorEastAsia"/>
                <w:sz w:val="28"/>
                <w:szCs w:val="28"/>
              </w:rPr>
            </w:pPr>
            <w:r>
              <w:rPr>
                <w:rFonts w:asciiTheme="minorEastAsia" w:hAnsiTheme="minorEastAsia" w:eastAsiaTheme="minorEastAsia"/>
                <w:sz w:val="28"/>
                <w:szCs w:val="28"/>
              </w:rPr>
              <w:t>董事长：</w:t>
            </w:r>
            <w:r>
              <w:rPr>
                <w:rFonts w:hint="eastAsia" w:asciiTheme="minorEastAsia" w:hAnsiTheme="minorEastAsia" w:eastAsiaTheme="minorEastAsia"/>
                <w:sz w:val="28"/>
                <w:szCs w:val="28"/>
              </w:rPr>
              <w:t>王荣涛</w:t>
            </w:r>
          </w:p>
          <w:p w14:paraId="0E2D3C7B">
            <w:pPr>
              <w:pStyle w:val="14"/>
              <w:tabs>
                <w:tab w:val="left" w:pos="675"/>
              </w:tabs>
              <w:spacing w:line="312" w:lineRule="auto"/>
              <w:jc w:val="both"/>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独立董事：</w:t>
            </w:r>
            <w:r>
              <w:rPr>
                <w:rFonts w:hint="eastAsia" w:asciiTheme="minorEastAsia" w:hAnsiTheme="minorEastAsia" w:eastAsiaTheme="minorEastAsia"/>
                <w:sz w:val="28"/>
                <w:szCs w:val="28"/>
                <w:lang w:val="en-US" w:eastAsia="zh-CN"/>
              </w:rPr>
              <w:t>方亮</w:t>
            </w:r>
          </w:p>
          <w:p w14:paraId="18557BA8">
            <w:pPr>
              <w:pStyle w:val="14"/>
              <w:tabs>
                <w:tab w:val="left" w:pos="675"/>
              </w:tabs>
              <w:spacing w:line="312" w:lineRule="auto"/>
              <w:jc w:val="both"/>
              <w:rPr>
                <w:rFonts w:asciiTheme="minorEastAsia" w:hAnsiTheme="minorEastAsia"/>
                <w:sz w:val="28"/>
                <w:szCs w:val="28"/>
              </w:rPr>
            </w:pPr>
            <w:r>
              <w:rPr>
                <w:rFonts w:asciiTheme="minorEastAsia" w:hAnsiTheme="minorEastAsia"/>
                <w:sz w:val="28"/>
                <w:szCs w:val="28"/>
              </w:rPr>
              <w:t>财务负责人：赵海林</w:t>
            </w:r>
          </w:p>
          <w:p w14:paraId="45E9B442">
            <w:pPr>
              <w:pStyle w:val="14"/>
              <w:tabs>
                <w:tab w:val="left" w:pos="675"/>
              </w:tabs>
              <w:spacing w:line="312" w:lineRule="auto"/>
              <w:jc w:val="both"/>
              <w:rPr>
                <w:rFonts w:asciiTheme="minorEastAsia" w:hAnsiTheme="minorEastAsia"/>
                <w:sz w:val="28"/>
                <w:szCs w:val="28"/>
              </w:rPr>
            </w:pPr>
            <w:r>
              <w:rPr>
                <w:rFonts w:hint="eastAsia" w:asciiTheme="minorEastAsia" w:hAnsiTheme="minorEastAsia"/>
                <w:sz w:val="28"/>
                <w:szCs w:val="28"/>
              </w:rPr>
              <w:t>董事会秘书：李念云</w:t>
            </w:r>
          </w:p>
        </w:tc>
      </w:tr>
      <w:tr w14:paraId="5D3A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567A8B3A">
            <w:pPr>
              <w:jc w:val="center"/>
              <w:rPr>
                <w:sz w:val="28"/>
              </w:rPr>
            </w:pPr>
            <w:r>
              <w:rPr>
                <w:sz w:val="28"/>
              </w:rPr>
              <w:t>投资者关系</w:t>
            </w:r>
          </w:p>
          <w:p w14:paraId="0F2E2645">
            <w:pPr>
              <w:jc w:val="center"/>
              <w:rPr>
                <w:sz w:val="28"/>
              </w:rPr>
            </w:pPr>
            <w:r>
              <w:rPr>
                <w:sz w:val="28"/>
              </w:rPr>
              <w:t>活动主要内容</w:t>
            </w:r>
          </w:p>
        </w:tc>
        <w:tc>
          <w:tcPr>
            <w:tcW w:w="8363" w:type="dxa"/>
          </w:tcPr>
          <w:p w14:paraId="24726972">
            <w:pPr>
              <w:ind w:firstLine="562" w:firstLineChars="200"/>
              <w:rPr>
                <w:rFonts w:asciiTheme="minorEastAsia" w:hAnsiTheme="minorEastAsia"/>
                <w:b/>
                <w:sz w:val="28"/>
                <w:szCs w:val="24"/>
              </w:rPr>
            </w:pPr>
            <w:r>
              <w:rPr>
                <w:rFonts w:hint="eastAsia" w:asciiTheme="minorEastAsia" w:hAnsiTheme="minorEastAsia"/>
                <w:b/>
                <w:sz w:val="28"/>
                <w:szCs w:val="24"/>
              </w:rPr>
              <w:t>公司2025年第三季度业绩暨现金分红说明会主要就投资者提出的相关问题进行互动和沟通，主要内容如下：</w:t>
            </w:r>
          </w:p>
          <w:p w14:paraId="2AD88A2F">
            <w:pPr>
              <w:ind w:firstLine="562" w:firstLineChars="200"/>
              <w:rPr>
                <w:rFonts w:asciiTheme="minorEastAsia" w:hAnsiTheme="minorEastAsia"/>
                <w:b/>
                <w:bCs/>
                <w:sz w:val="28"/>
                <w:szCs w:val="24"/>
              </w:rPr>
            </w:pPr>
            <w:r>
              <w:rPr>
                <w:rFonts w:hint="eastAsia" w:asciiTheme="minorEastAsia" w:hAnsiTheme="minorEastAsia"/>
                <w:b/>
                <w:bCs/>
                <w:sz w:val="28"/>
                <w:szCs w:val="24"/>
              </w:rPr>
              <w:t>1.三季报显示公司中药饮片业务营收下降但毛利率增长了，是什么原因？现在中药饮片也纳入集采了，桐君堂后续如何发展？</w:t>
            </w:r>
          </w:p>
          <w:p w14:paraId="59F7DC38">
            <w:pPr>
              <w:ind w:firstLine="560" w:firstLineChars="200"/>
              <w:rPr>
                <w:rFonts w:hint="eastAsia" w:asciiTheme="minorEastAsia" w:hAnsiTheme="minorEastAsia"/>
                <w:sz w:val="28"/>
                <w:szCs w:val="24"/>
              </w:rPr>
            </w:pPr>
            <w:r>
              <w:rPr>
                <w:rFonts w:hint="eastAsia" w:asciiTheme="minorEastAsia" w:hAnsiTheme="minorEastAsia"/>
                <w:sz w:val="28"/>
                <w:szCs w:val="24"/>
              </w:rPr>
              <w:t>答：投资者您好！报告期内，公司中药饮片业务收入 61,128.18万元，较上年同期下降8.75%，主要因为公司主动聚焦优质客户，调整低毛利业务；同时通过强化内部管理，结合原材料市场价格变化，深化降本增效等措施，毛利率同比上涨3.86%。</w:t>
            </w:r>
          </w:p>
          <w:p w14:paraId="6C34EF9C">
            <w:pPr>
              <w:ind w:firstLine="560" w:firstLineChars="200"/>
              <w:rPr>
                <w:rFonts w:asciiTheme="minorEastAsia" w:hAnsiTheme="minorEastAsia"/>
                <w:sz w:val="28"/>
                <w:szCs w:val="24"/>
              </w:rPr>
            </w:pPr>
            <w:r>
              <w:rPr>
                <w:rFonts w:hint="eastAsia" w:asciiTheme="minorEastAsia" w:hAnsiTheme="minorEastAsia"/>
                <w:sz w:val="28"/>
                <w:szCs w:val="24"/>
              </w:rPr>
              <w:t>桐君堂积极响应集采政策，在全国中药饮片采购联盟集中采购中成功中标36个品种，63个品规，中标区域覆盖浙江、河南、山东等多个省市。未来，桐君堂将持续完善道地药材标准化种植基地群及中药材溯源体系建设，做好中标区域产品的保质保量供应，同时积极参与浙江省外市场的招标工作，拓展省外市场；并进一步激活“桐君传统中药文化”国家非物质文化遗产保护传承和“中华老字号”品牌势能，加大大健康产品的研发以及市场布局，逐步探索拓展下游“中药+”、“药食同源”市场。</w:t>
            </w:r>
          </w:p>
          <w:p w14:paraId="0A9845E1">
            <w:pPr>
              <w:ind w:firstLine="562" w:firstLineChars="200"/>
              <w:rPr>
                <w:rFonts w:asciiTheme="minorEastAsia" w:hAnsiTheme="minorEastAsia"/>
                <w:b/>
                <w:bCs/>
                <w:sz w:val="28"/>
                <w:szCs w:val="24"/>
              </w:rPr>
            </w:pPr>
            <w:r>
              <w:rPr>
                <w:rFonts w:hint="eastAsia" w:asciiTheme="minorEastAsia" w:hAnsiTheme="minorEastAsia"/>
                <w:b/>
                <w:bCs/>
                <w:sz w:val="28"/>
                <w:szCs w:val="24"/>
              </w:rPr>
              <w:t>2.公司前三季度收入为什么会下滑？</w:t>
            </w:r>
          </w:p>
          <w:p w14:paraId="64921CFF">
            <w:pPr>
              <w:ind w:firstLine="560" w:firstLineChars="200"/>
              <w:rPr>
                <w:rFonts w:asciiTheme="minorEastAsia" w:hAnsiTheme="minorEastAsia"/>
                <w:sz w:val="28"/>
                <w:szCs w:val="24"/>
              </w:rPr>
            </w:pPr>
            <w:r>
              <w:rPr>
                <w:rFonts w:hint="eastAsia" w:asciiTheme="minorEastAsia" w:hAnsiTheme="minorEastAsia"/>
                <w:sz w:val="28"/>
                <w:szCs w:val="24"/>
              </w:rPr>
              <w:t>答：尊敬的投资者您好，公司前三季度营业收入下降主要系公司主要产品参加全国中成药集采的执标工作尚未全面覆盖，“以价换量”效果未能充分显现，叠加零售端药店整合、医保支付改革及执标产品价格体系维护的影响，销售收入下降。</w:t>
            </w:r>
          </w:p>
          <w:p w14:paraId="12257074">
            <w:pPr>
              <w:ind w:firstLine="562" w:firstLineChars="200"/>
              <w:rPr>
                <w:rFonts w:asciiTheme="minorEastAsia" w:hAnsiTheme="minorEastAsia"/>
                <w:b/>
                <w:bCs/>
                <w:sz w:val="28"/>
                <w:szCs w:val="24"/>
              </w:rPr>
            </w:pPr>
            <w:r>
              <w:rPr>
                <w:rFonts w:hint="eastAsia" w:asciiTheme="minorEastAsia" w:hAnsiTheme="minorEastAsia"/>
                <w:b/>
                <w:bCs/>
                <w:sz w:val="28"/>
                <w:szCs w:val="24"/>
              </w:rPr>
              <w:t>3.新领先临床服务有哪些业务？进展怎么样了？</w:t>
            </w:r>
          </w:p>
          <w:p w14:paraId="38ED26AA">
            <w:pPr>
              <w:ind w:firstLine="560" w:firstLineChars="200"/>
              <w:rPr>
                <w:rFonts w:hint="eastAsia" w:asciiTheme="minorEastAsia" w:hAnsiTheme="minorEastAsia" w:eastAsiaTheme="minorEastAsia"/>
                <w:sz w:val="28"/>
                <w:szCs w:val="24"/>
                <w:lang w:eastAsia="zh-CN"/>
              </w:rPr>
            </w:pPr>
            <w:r>
              <w:rPr>
                <w:rFonts w:hint="eastAsia" w:asciiTheme="minorEastAsia" w:hAnsiTheme="minorEastAsia"/>
                <w:sz w:val="28"/>
                <w:szCs w:val="24"/>
              </w:rPr>
              <w:t>答：在临床业务方面，新领先可为客户提供从IND至NDA全流程服务，截至今年三季度，新领先助力客户启动胶质母细胞瘤(rGBM)的PD-1/TIGIT双特异性抗体临床研究，完成皮下脂肪层注射项目的获批投产，顺利推进儿童流感项目三期临床完成结题并申报等</w:t>
            </w:r>
            <w:r>
              <w:rPr>
                <w:rFonts w:hint="eastAsia" w:asciiTheme="minorEastAsia" w:hAnsiTheme="minorEastAsia"/>
                <w:sz w:val="28"/>
                <w:szCs w:val="24"/>
                <w:lang w:eastAsia="zh-CN"/>
              </w:rPr>
              <w:t>。</w:t>
            </w:r>
          </w:p>
          <w:p w14:paraId="5BDEBF67">
            <w:pPr>
              <w:ind w:firstLine="562" w:firstLineChars="200"/>
              <w:rPr>
                <w:rFonts w:asciiTheme="minorEastAsia" w:hAnsiTheme="minorEastAsia"/>
                <w:b/>
                <w:bCs/>
                <w:sz w:val="28"/>
                <w:szCs w:val="24"/>
              </w:rPr>
            </w:pPr>
            <w:r>
              <w:rPr>
                <w:rFonts w:hint="eastAsia" w:asciiTheme="minorEastAsia" w:hAnsiTheme="minorEastAsia"/>
                <w:b/>
                <w:bCs/>
                <w:sz w:val="28"/>
                <w:szCs w:val="24"/>
              </w:rPr>
              <w:t>4.</w:t>
            </w:r>
            <w:r>
              <w:rPr>
                <w:rFonts w:hint="eastAsia"/>
                <w:b/>
                <w:sz w:val="28"/>
              </w:rPr>
              <w:t>公司药品制剂业务在OTC渠道有何布局？</w:t>
            </w:r>
          </w:p>
          <w:p w14:paraId="1020E440">
            <w:pPr>
              <w:ind w:firstLine="560" w:firstLineChars="200"/>
              <w:rPr>
                <w:rFonts w:hint="eastAsia" w:asciiTheme="minorEastAsia" w:hAnsiTheme="minorEastAsia" w:eastAsiaTheme="minorEastAsia"/>
                <w:sz w:val="28"/>
                <w:szCs w:val="24"/>
                <w:lang w:eastAsia="zh-CN"/>
              </w:rPr>
            </w:pPr>
            <w:r>
              <w:rPr>
                <w:rFonts w:hint="eastAsia" w:asciiTheme="minorEastAsia" w:hAnsiTheme="minorEastAsia"/>
                <w:sz w:val="28"/>
                <w:szCs w:val="24"/>
              </w:rPr>
              <w:t>答：OTC层面，公司主要构建差异化营销体系，强化在百强连锁药店及线上电商渠道等市场的布局；除双黄连系列产品外，以双金连合剂、五子衍宗口服液、金银花露等产品为重点推广，加大品牌在基层终端的宣传力度，努力提升市场份额</w:t>
            </w:r>
            <w:r>
              <w:rPr>
                <w:rFonts w:hint="eastAsia" w:asciiTheme="minorEastAsia" w:hAnsiTheme="minorEastAsia"/>
                <w:sz w:val="28"/>
                <w:szCs w:val="24"/>
                <w:lang w:eastAsia="zh-CN"/>
              </w:rPr>
              <w:t>。</w:t>
            </w:r>
          </w:p>
          <w:p w14:paraId="791AE8FD">
            <w:pPr>
              <w:ind w:firstLine="562" w:firstLineChars="200"/>
              <w:rPr>
                <w:rFonts w:asciiTheme="minorEastAsia" w:hAnsiTheme="minorEastAsia"/>
                <w:b/>
                <w:bCs/>
                <w:sz w:val="28"/>
                <w:szCs w:val="24"/>
              </w:rPr>
            </w:pPr>
            <w:r>
              <w:rPr>
                <w:rFonts w:hint="eastAsia" w:asciiTheme="minorEastAsia" w:hAnsiTheme="minorEastAsia"/>
                <w:b/>
                <w:bCs/>
                <w:sz w:val="28"/>
                <w:szCs w:val="24"/>
              </w:rPr>
              <w:t>5.公司在三季度进行分红，之后还分么？后续的分红安排是怎样的？</w:t>
            </w:r>
          </w:p>
          <w:p w14:paraId="28DB8DF9">
            <w:pPr>
              <w:ind w:firstLine="560" w:firstLineChars="200"/>
              <w:rPr>
                <w:rFonts w:hint="eastAsia" w:asciiTheme="minorEastAsia" w:hAnsiTheme="minorEastAsia"/>
                <w:sz w:val="28"/>
                <w:szCs w:val="24"/>
              </w:rPr>
            </w:pPr>
            <w:r>
              <w:rPr>
                <w:rFonts w:hint="eastAsia" w:asciiTheme="minorEastAsia" w:hAnsiTheme="minorEastAsia"/>
                <w:sz w:val="28"/>
                <w:szCs w:val="24"/>
              </w:rPr>
              <w:t>答：为推动全体股东共享公司经营发展成果，经董事会审议，公司拟实施2025年前三季度利润分配，拟向全体股东每10股派发现金红利0.14元，以此计算合计拟派发现金红利7,740,942.76元(含税)；2025年前三季度利润分配方案尚需提交股东会审议。</w:t>
            </w:r>
          </w:p>
          <w:p w14:paraId="04A1E345">
            <w:pPr>
              <w:ind w:firstLine="560" w:firstLineChars="200"/>
              <w:rPr>
                <w:rFonts w:asciiTheme="minorEastAsia" w:hAnsiTheme="minorEastAsia"/>
                <w:sz w:val="28"/>
                <w:szCs w:val="24"/>
              </w:rPr>
            </w:pPr>
            <w:r>
              <w:rPr>
                <w:rFonts w:hint="eastAsia" w:asciiTheme="minorEastAsia" w:hAnsiTheme="minorEastAsia"/>
                <w:sz w:val="28"/>
                <w:szCs w:val="24"/>
              </w:rPr>
              <w:t>公司将结合业务发展规划及未来资金需求，在符合利润分配原则、保障正常经营和长远发展的前提下，持续落实“长期、稳定、可持续”的股东价值回报机制，通过稳健经营和持续分红，更好地兼顾股东的即期利益和长远利益，增强广大投资者的获得感。</w:t>
            </w:r>
          </w:p>
          <w:p w14:paraId="023C6C86">
            <w:pPr>
              <w:ind w:firstLine="562" w:firstLineChars="200"/>
              <w:rPr>
                <w:rFonts w:asciiTheme="minorEastAsia" w:hAnsiTheme="minorEastAsia"/>
                <w:b/>
                <w:bCs/>
                <w:sz w:val="28"/>
                <w:szCs w:val="24"/>
              </w:rPr>
            </w:pPr>
            <w:r>
              <w:rPr>
                <w:rFonts w:hint="eastAsia" w:asciiTheme="minorEastAsia" w:hAnsiTheme="minorEastAsia"/>
                <w:b/>
                <w:bCs/>
                <w:sz w:val="28"/>
                <w:szCs w:val="24"/>
              </w:rPr>
              <w:t>6.现在集采执标进展怎么样了？四季度进入感冒高发期，双黄连发货情况怎么样？</w:t>
            </w:r>
          </w:p>
          <w:p w14:paraId="42DF8E31">
            <w:pPr>
              <w:ind w:firstLine="560" w:firstLineChars="200"/>
              <w:rPr>
                <w:rFonts w:asciiTheme="minorEastAsia" w:hAnsiTheme="minorEastAsia"/>
                <w:sz w:val="28"/>
                <w:szCs w:val="24"/>
              </w:rPr>
            </w:pPr>
            <w:r>
              <w:rPr>
                <w:rFonts w:hint="eastAsia" w:asciiTheme="minorEastAsia" w:hAnsiTheme="minorEastAsia"/>
                <w:sz w:val="28"/>
                <w:szCs w:val="24"/>
              </w:rPr>
              <w:t>答：目前，公司药品制剂业务中选全国中成药集采的产品执标工作正按各省份政策推进。四季度通常为呼吸道用药产品销售旺季，公司将结合市场需求统筹安排合理库存，并综合考虑零售端药店整合调整及集采政策的影响，通过加强供应链及原材料成本管控提升运营效率，深化市场多渠道合作，保障产品供应需求，拓展市场份额。感谢您对公司的关注！</w:t>
            </w:r>
          </w:p>
        </w:tc>
      </w:tr>
    </w:tbl>
    <w:p w14:paraId="65E21EBB">
      <w:pPr>
        <w:rPr>
          <w:b/>
          <w:sz w:val="24"/>
        </w:rPr>
      </w:pPr>
      <w:bookmarkStart w:id="0" w:name="_GoBack"/>
      <w:r>
        <w:rPr>
          <w:b/>
          <w:sz w:val="24"/>
        </w:rPr>
        <w:t>（以上活动不涉及应当披露但未披露的重大信息）</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ZDYyNGQxODg3ZDc2MzQ4MTdiZDJkNGQ1M2EwY2IifQ=="/>
  </w:docVars>
  <w:rsids>
    <w:rsidRoot w:val="00177915"/>
    <w:rsid w:val="00005538"/>
    <w:rsid w:val="00006DA6"/>
    <w:rsid w:val="00060C9C"/>
    <w:rsid w:val="00063594"/>
    <w:rsid w:val="00077A33"/>
    <w:rsid w:val="00080D13"/>
    <w:rsid w:val="000A600C"/>
    <w:rsid w:val="000A685A"/>
    <w:rsid w:val="000A71C8"/>
    <w:rsid w:val="000B05A6"/>
    <w:rsid w:val="000C2876"/>
    <w:rsid w:val="000D1892"/>
    <w:rsid w:val="000D363A"/>
    <w:rsid w:val="000F444F"/>
    <w:rsid w:val="00145F31"/>
    <w:rsid w:val="0015314B"/>
    <w:rsid w:val="00177915"/>
    <w:rsid w:val="001A15C0"/>
    <w:rsid w:val="001A774A"/>
    <w:rsid w:val="001B2DBE"/>
    <w:rsid w:val="001C7AC3"/>
    <w:rsid w:val="001E7B10"/>
    <w:rsid w:val="001F27A1"/>
    <w:rsid w:val="00203094"/>
    <w:rsid w:val="002033D3"/>
    <w:rsid w:val="002153C8"/>
    <w:rsid w:val="002241F1"/>
    <w:rsid w:val="00243E0E"/>
    <w:rsid w:val="00245238"/>
    <w:rsid w:val="00250623"/>
    <w:rsid w:val="00282E31"/>
    <w:rsid w:val="002878FB"/>
    <w:rsid w:val="002A40C7"/>
    <w:rsid w:val="002B7A7E"/>
    <w:rsid w:val="002E1435"/>
    <w:rsid w:val="002E3E86"/>
    <w:rsid w:val="002F66BA"/>
    <w:rsid w:val="00320226"/>
    <w:rsid w:val="00356DB4"/>
    <w:rsid w:val="003C085B"/>
    <w:rsid w:val="003D21CF"/>
    <w:rsid w:val="003E32FE"/>
    <w:rsid w:val="003F6576"/>
    <w:rsid w:val="003F7E86"/>
    <w:rsid w:val="00401978"/>
    <w:rsid w:val="00410562"/>
    <w:rsid w:val="00432D66"/>
    <w:rsid w:val="00433FE9"/>
    <w:rsid w:val="00442C1C"/>
    <w:rsid w:val="00465282"/>
    <w:rsid w:val="0049619C"/>
    <w:rsid w:val="004A1FE7"/>
    <w:rsid w:val="004B2878"/>
    <w:rsid w:val="00502F2E"/>
    <w:rsid w:val="0053644E"/>
    <w:rsid w:val="00540803"/>
    <w:rsid w:val="00546544"/>
    <w:rsid w:val="0057536E"/>
    <w:rsid w:val="005A44DA"/>
    <w:rsid w:val="005C5517"/>
    <w:rsid w:val="005D323C"/>
    <w:rsid w:val="00631FA4"/>
    <w:rsid w:val="00645234"/>
    <w:rsid w:val="00651CF6"/>
    <w:rsid w:val="00695521"/>
    <w:rsid w:val="00696578"/>
    <w:rsid w:val="00697212"/>
    <w:rsid w:val="006B5244"/>
    <w:rsid w:val="006B5295"/>
    <w:rsid w:val="006D59CB"/>
    <w:rsid w:val="006E783A"/>
    <w:rsid w:val="0070731A"/>
    <w:rsid w:val="00742E65"/>
    <w:rsid w:val="0075411E"/>
    <w:rsid w:val="0078719F"/>
    <w:rsid w:val="007928A2"/>
    <w:rsid w:val="0079294C"/>
    <w:rsid w:val="007A20DD"/>
    <w:rsid w:val="007A4728"/>
    <w:rsid w:val="007B25C4"/>
    <w:rsid w:val="007E3FB4"/>
    <w:rsid w:val="007F3B9D"/>
    <w:rsid w:val="00841021"/>
    <w:rsid w:val="008535FF"/>
    <w:rsid w:val="00883CDF"/>
    <w:rsid w:val="00885960"/>
    <w:rsid w:val="00892233"/>
    <w:rsid w:val="008A1CFF"/>
    <w:rsid w:val="008B20D1"/>
    <w:rsid w:val="008C59BD"/>
    <w:rsid w:val="008E522E"/>
    <w:rsid w:val="009143F4"/>
    <w:rsid w:val="00935D70"/>
    <w:rsid w:val="00936A80"/>
    <w:rsid w:val="00937AD0"/>
    <w:rsid w:val="00940586"/>
    <w:rsid w:val="00967586"/>
    <w:rsid w:val="009C5CEF"/>
    <w:rsid w:val="009D651C"/>
    <w:rsid w:val="009F5462"/>
    <w:rsid w:val="00A1439D"/>
    <w:rsid w:val="00A20818"/>
    <w:rsid w:val="00AD0893"/>
    <w:rsid w:val="00AF45D5"/>
    <w:rsid w:val="00B039C2"/>
    <w:rsid w:val="00B073C9"/>
    <w:rsid w:val="00B3269E"/>
    <w:rsid w:val="00B5592E"/>
    <w:rsid w:val="00B67CFE"/>
    <w:rsid w:val="00B7505C"/>
    <w:rsid w:val="00B8320D"/>
    <w:rsid w:val="00B92CD3"/>
    <w:rsid w:val="00BA3E0D"/>
    <w:rsid w:val="00BC6BB9"/>
    <w:rsid w:val="00BD2C94"/>
    <w:rsid w:val="00BF5C1B"/>
    <w:rsid w:val="00C06D08"/>
    <w:rsid w:val="00C07F82"/>
    <w:rsid w:val="00C167CF"/>
    <w:rsid w:val="00C47C5B"/>
    <w:rsid w:val="00C5387F"/>
    <w:rsid w:val="00C7564E"/>
    <w:rsid w:val="00C76C15"/>
    <w:rsid w:val="00CA56B4"/>
    <w:rsid w:val="00CB48A5"/>
    <w:rsid w:val="00CD0E4E"/>
    <w:rsid w:val="00CE6018"/>
    <w:rsid w:val="00D214C2"/>
    <w:rsid w:val="00D21E58"/>
    <w:rsid w:val="00D24239"/>
    <w:rsid w:val="00D34F77"/>
    <w:rsid w:val="00D76AE9"/>
    <w:rsid w:val="00D96751"/>
    <w:rsid w:val="00DA30C3"/>
    <w:rsid w:val="00E002E1"/>
    <w:rsid w:val="00E013E0"/>
    <w:rsid w:val="00E0699E"/>
    <w:rsid w:val="00E34D63"/>
    <w:rsid w:val="00E40C46"/>
    <w:rsid w:val="00E67207"/>
    <w:rsid w:val="00E726C1"/>
    <w:rsid w:val="00E82D67"/>
    <w:rsid w:val="00E8704C"/>
    <w:rsid w:val="00E91360"/>
    <w:rsid w:val="00E93718"/>
    <w:rsid w:val="00EC5D47"/>
    <w:rsid w:val="00F21BB1"/>
    <w:rsid w:val="00F32F59"/>
    <w:rsid w:val="00F87C30"/>
    <w:rsid w:val="00F90D8B"/>
    <w:rsid w:val="00F97D94"/>
    <w:rsid w:val="00FC0E79"/>
    <w:rsid w:val="00FD69F7"/>
    <w:rsid w:val="00FF2E19"/>
    <w:rsid w:val="025832D3"/>
    <w:rsid w:val="02A70B99"/>
    <w:rsid w:val="03275DD4"/>
    <w:rsid w:val="03857411"/>
    <w:rsid w:val="04840FFA"/>
    <w:rsid w:val="04BC1856"/>
    <w:rsid w:val="075521B6"/>
    <w:rsid w:val="07FE2B6F"/>
    <w:rsid w:val="0A1C72DC"/>
    <w:rsid w:val="0A5E5F02"/>
    <w:rsid w:val="0D2D03B4"/>
    <w:rsid w:val="0D5C34E4"/>
    <w:rsid w:val="0ED91C40"/>
    <w:rsid w:val="10EA1D57"/>
    <w:rsid w:val="166308CA"/>
    <w:rsid w:val="19E33973"/>
    <w:rsid w:val="1B577A36"/>
    <w:rsid w:val="1BD73D96"/>
    <w:rsid w:val="1D8C2C2E"/>
    <w:rsid w:val="1F282554"/>
    <w:rsid w:val="1FF9248C"/>
    <w:rsid w:val="21D02A2F"/>
    <w:rsid w:val="222F103A"/>
    <w:rsid w:val="23EB66CA"/>
    <w:rsid w:val="27870033"/>
    <w:rsid w:val="29986919"/>
    <w:rsid w:val="2DFA155F"/>
    <w:rsid w:val="2F08107A"/>
    <w:rsid w:val="3049232A"/>
    <w:rsid w:val="309F1F4A"/>
    <w:rsid w:val="317123F7"/>
    <w:rsid w:val="31A8394E"/>
    <w:rsid w:val="32C97752"/>
    <w:rsid w:val="36130E68"/>
    <w:rsid w:val="369912A3"/>
    <w:rsid w:val="3781684D"/>
    <w:rsid w:val="3B40257B"/>
    <w:rsid w:val="3D6360E5"/>
    <w:rsid w:val="3ECB7CDF"/>
    <w:rsid w:val="418C651A"/>
    <w:rsid w:val="41D41C6F"/>
    <w:rsid w:val="43B27BD4"/>
    <w:rsid w:val="44A71A4C"/>
    <w:rsid w:val="45196317"/>
    <w:rsid w:val="454B6786"/>
    <w:rsid w:val="4850576E"/>
    <w:rsid w:val="49A67E14"/>
    <w:rsid w:val="4A0F3B40"/>
    <w:rsid w:val="4A993A56"/>
    <w:rsid w:val="4BB8348C"/>
    <w:rsid w:val="4C4A6E65"/>
    <w:rsid w:val="4E941DCB"/>
    <w:rsid w:val="4E9E02F2"/>
    <w:rsid w:val="4F351F9F"/>
    <w:rsid w:val="538E6122"/>
    <w:rsid w:val="543F11CA"/>
    <w:rsid w:val="54E3424B"/>
    <w:rsid w:val="561A3C9D"/>
    <w:rsid w:val="56B6734F"/>
    <w:rsid w:val="599455E1"/>
    <w:rsid w:val="59E7571D"/>
    <w:rsid w:val="5B7C0F56"/>
    <w:rsid w:val="5F864151"/>
    <w:rsid w:val="62E643D8"/>
    <w:rsid w:val="666D7E19"/>
    <w:rsid w:val="669B0832"/>
    <w:rsid w:val="675B2086"/>
    <w:rsid w:val="69B31FE7"/>
    <w:rsid w:val="6BC404DB"/>
    <w:rsid w:val="6C42144F"/>
    <w:rsid w:val="6E421B8B"/>
    <w:rsid w:val="6E9E2658"/>
    <w:rsid w:val="714B373D"/>
    <w:rsid w:val="721C6E6E"/>
    <w:rsid w:val="74275AAB"/>
    <w:rsid w:val="75371D1E"/>
    <w:rsid w:val="767174B1"/>
    <w:rsid w:val="77B07B65"/>
    <w:rsid w:val="79732DE9"/>
    <w:rsid w:val="79F31A57"/>
    <w:rsid w:val="7D6C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1"/>
      <w:szCs w:val="11"/>
      <w:lang w:eastAsia="en-US"/>
    </w:rPr>
  </w:style>
  <w:style w:type="paragraph" w:styleId="4">
    <w:name w:val="Balloon Text"/>
    <w:basedOn w:val="1"/>
    <w:link w:val="21"/>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3"/>
    <w:semiHidden/>
    <w:unhideWhenUsed/>
    <w:qFormat/>
    <w:uiPriority w:val="99"/>
    <w:rPr>
      <w:rFonts w:ascii="Courier New" w:hAnsi="Courier New" w:cs="Courier New"/>
      <w:sz w:val="20"/>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19"/>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页眉 Char"/>
    <w:basedOn w:val="12"/>
    <w:link w:val="6"/>
    <w:qFormat/>
    <w:uiPriority w:val="99"/>
    <w:rPr>
      <w:sz w:val="18"/>
      <w:szCs w:val="18"/>
    </w:rPr>
  </w:style>
  <w:style w:type="character" w:customStyle="1" w:styleId="17">
    <w:name w:val="页脚 Char"/>
    <w:basedOn w:val="12"/>
    <w:link w:val="5"/>
    <w:qFormat/>
    <w:uiPriority w:val="99"/>
    <w:rPr>
      <w:sz w:val="18"/>
      <w:szCs w:val="18"/>
    </w:rPr>
  </w:style>
  <w:style w:type="character" w:customStyle="1" w:styleId="18">
    <w:name w:val="批注文字 Char"/>
    <w:basedOn w:val="12"/>
    <w:link w:val="2"/>
    <w:qFormat/>
    <w:uiPriority w:val="99"/>
    <w:rPr>
      <w:rFonts w:asciiTheme="minorHAnsi" w:hAnsiTheme="minorHAnsi" w:eastAsiaTheme="minorEastAsia" w:cstheme="minorBidi"/>
      <w:kern w:val="2"/>
      <w:sz w:val="21"/>
      <w:szCs w:val="22"/>
    </w:rPr>
  </w:style>
  <w:style w:type="character" w:customStyle="1" w:styleId="19">
    <w:name w:val="批注主题 Char"/>
    <w:basedOn w:val="18"/>
    <w:link w:val="9"/>
    <w:semiHidden/>
    <w:qFormat/>
    <w:uiPriority w:val="99"/>
    <w:rPr>
      <w:rFonts w:asciiTheme="minorHAnsi" w:hAnsiTheme="minorHAnsi" w:eastAsiaTheme="minorEastAsia" w:cstheme="minorBidi"/>
      <w:b/>
      <w:bCs/>
      <w:kern w:val="2"/>
      <w:sz w:val="21"/>
      <w:szCs w:val="22"/>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框文本 Char"/>
    <w:basedOn w:val="12"/>
    <w:link w:val="4"/>
    <w:semiHidden/>
    <w:qFormat/>
    <w:uiPriority w:val="99"/>
    <w:rPr>
      <w:rFonts w:asciiTheme="minorHAnsi" w:hAnsiTheme="minorHAnsi" w:eastAsiaTheme="minorEastAsia" w:cstheme="minorBidi"/>
      <w:kern w:val="2"/>
      <w:sz w:val="18"/>
      <w:szCs w:val="18"/>
    </w:rPr>
  </w:style>
  <w:style w:type="character" w:customStyle="1" w:styleId="22">
    <w:name w:val="highlight"/>
    <w:basedOn w:val="12"/>
    <w:qFormat/>
    <w:uiPriority w:val="0"/>
  </w:style>
  <w:style w:type="character" w:customStyle="1" w:styleId="23">
    <w:name w:val="HTML 预设格式 Char"/>
    <w:basedOn w:val="12"/>
    <w:link w:val="7"/>
    <w:semiHidden/>
    <w:qFormat/>
    <w:uiPriority w:val="99"/>
    <w:rPr>
      <w:rFonts w:ascii="Courier New" w:hAnsi="Courier New" w:cs="Courier New" w:eastAsiaTheme="minorEastAsia"/>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2223</Words>
  <Characters>2315</Characters>
  <Lines>17</Lines>
  <Paragraphs>4</Paragraphs>
  <TotalTime>0</TotalTime>
  <ScaleCrop>false</ScaleCrop>
  <LinksUpToDate>false</LinksUpToDate>
  <CharactersWithSpaces>2400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2025-04-16T05:47:00Z</dcterms:created>
  <dc:creator>Microsoft 帐户</dc:creator>
  <cp:lastModifiedBy>吉思凡</cp:lastModifiedBy>
  <dcterms:modified xsi:type="dcterms:W3CDTF">2025-11-07T05:21:09Z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B9925C5EA23C4609BA2D33FF3A8FC87C_13</vt:lpwstr>
  </property>
  <property fmtid="{D5CDD505-2E9C-101B-9397-08002B2CF9AE}" pid="4" name="KSOTemplateDocerSaveRecord">
    <vt:lpwstr>eyJoZGlkIjoiOWFhZDYyNGQxODg3ZDc2MzQ4MTdiZDJkNGQ1M2EwY2IiLCJ1c2VySWQiOiI1MTEwMDg4MzcifQ==</vt:lpwstr>
  </property>
</Properties>
</file>