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9853" w14:textId="77777777" w:rsidR="00A71E4F"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证券代码：603995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证券简称：甬金股份</w:t>
      </w:r>
    </w:p>
    <w:p w14:paraId="30679D3F" w14:textId="77777777" w:rsidR="00A71E4F" w:rsidRDefault="00A71E4F">
      <w:pPr>
        <w:spacing w:line="360" w:lineRule="auto"/>
        <w:jc w:val="center"/>
        <w:rPr>
          <w:rFonts w:ascii="宋体" w:eastAsia="宋体" w:hAnsi="宋体" w:cs="宋体" w:hint="eastAsia"/>
          <w:b/>
          <w:bCs/>
          <w:sz w:val="44"/>
          <w:szCs w:val="44"/>
        </w:rPr>
      </w:pPr>
    </w:p>
    <w:p w14:paraId="0F1598EE" w14:textId="77777777" w:rsidR="00A71E4F"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甬金科技集团股份有限公司</w:t>
      </w:r>
    </w:p>
    <w:p w14:paraId="299BC3C9" w14:textId="77777777" w:rsidR="00A71E4F"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68C5A907" w14:textId="14E22C16" w:rsidR="00A71E4F" w:rsidRDefault="00000000" w:rsidP="00024367">
      <w:pPr>
        <w:wordWrap w:val="0"/>
        <w:spacing w:before="51" w:after="32"/>
        <w:ind w:right="6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 xml:space="preserve"> -</w:t>
      </w:r>
      <w:r w:rsidR="00024367">
        <w:rPr>
          <w:rFonts w:ascii="宋体" w:eastAsia="宋体" w:hAnsi="宋体" w:cs="宋体" w:hint="eastAsia"/>
          <w:sz w:val="20"/>
          <w:szCs w:val="20"/>
        </w:rPr>
        <w:t xml:space="preserve"> 003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A71E4F" w14:paraId="395E11C1" w14:textId="77777777">
        <w:trPr>
          <w:trHeight w:val="2801"/>
          <w:jc w:val="center"/>
        </w:trPr>
        <w:tc>
          <w:tcPr>
            <w:tcW w:w="2580" w:type="dxa"/>
          </w:tcPr>
          <w:p w14:paraId="5DD3FB6E" w14:textId="77777777" w:rsidR="00A71E4F" w:rsidRDefault="00A71E4F">
            <w:pPr>
              <w:pStyle w:val="TableParagraph"/>
              <w:spacing w:before="7"/>
              <w:rPr>
                <w:rFonts w:ascii="宋体" w:eastAsia="宋体" w:hAnsi="宋体" w:cs="宋体" w:hint="eastAsia"/>
                <w:b/>
                <w:bCs/>
                <w:sz w:val="20"/>
                <w:szCs w:val="20"/>
              </w:rPr>
            </w:pPr>
          </w:p>
          <w:p w14:paraId="21E4C83D" w14:textId="77777777" w:rsidR="00A71E4F"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7D2D3BD3" w14:textId="77777777" w:rsidR="00A71E4F" w:rsidRDefault="00A71E4F">
            <w:pPr>
              <w:pStyle w:val="TableParagraph"/>
              <w:spacing w:before="7"/>
              <w:rPr>
                <w:rFonts w:ascii="宋体" w:eastAsia="宋体" w:hAnsi="宋体" w:cs="宋体" w:hint="eastAsia"/>
                <w:sz w:val="20"/>
                <w:szCs w:val="20"/>
              </w:rPr>
            </w:pPr>
          </w:p>
          <w:p w14:paraId="3BF7F3AD" w14:textId="77777777" w:rsidR="00A71E4F"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2698F3BD" w14:textId="77777777" w:rsidR="00A71E4F" w:rsidRDefault="00A71E4F">
            <w:pPr>
              <w:pStyle w:val="TableParagraph"/>
              <w:spacing w:before="11"/>
              <w:rPr>
                <w:rFonts w:ascii="宋体" w:eastAsia="宋体" w:hAnsi="宋体" w:cs="宋体" w:hint="eastAsia"/>
                <w:sz w:val="20"/>
                <w:szCs w:val="20"/>
              </w:rPr>
            </w:pPr>
          </w:p>
          <w:p w14:paraId="3DF7A060" w14:textId="77777777" w:rsidR="00A71E4F"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56DCB6EB" w14:textId="77777777" w:rsidR="00A71E4F" w:rsidRDefault="00A71E4F">
            <w:pPr>
              <w:pStyle w:val="TableParagraph"/>
              <w:spacing w:before="8"/>
              <w:rPr>
                <w:rFonts w:ascii="宋体" w:eastAsia="宋体" w:hAnsi="宋体" w:cs="宋体" w:hint="eastAsia"/>
                <w:sz w:val="20"/>
                <w:szCs w:val="20"/>
              </w:rPr>
            </w:pPr>
          </w:p>
          <w:p w14:paraId="53014AD7" w14:textId="77777777" w:rsidR="00A71E4F"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7A7D9378" w14:textId="77777777" w:rsidR="00A71E4F" w:rsidRDefault="00A71E4F">
            <w:pPr>
              <w:pStyle w:val="TableParagraph"/>
              <w:spacing w:before="8"/>
              <w:rPr>
                <w:rFonts w:ascii="宋体" w:eastAsia="宋体" w:hAnsi="宋体" w:cs="宋体" w:hint="eastAsia"/>
                <w:sz w:val="20"/>
                <w:szCs w:val="20"/>
              </w:rPr>
            </w:pPr>
          </w:p>
          <w:p w14:paraId="427CB9A6" w14:textId="77777777" w:rsidR="00A71E4F"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512C5453" w14:textId="77777777" w:rsidR="00A71E4F" w:rsidRDefault="00A71E4F">
            <w:pPr>
              <w:pStyle w:val="TableParagraph"/>
              <w:spacing w:before="11"/>
              <w:rPr>
                <w:rFonts w:ascii="宋体" w:eastAsia="宋体" w:hAnsi="宋体" w:cs="宋体" w:hint="eastAsia"/>
                <w:sz w:val="20"/>
                <w:szCs w:val="20"/>
              </w:rPr>
            </w:pPr>
          </w:p>
          <w:p w14:paraId="5F382CCF" w14:textId="77777777" w:rsidR="00A71E4F"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A71E4F" w14:paraId="47DA7CD3" w14:textId="77777777">
        <w:trPr>
          <w:trHeight w:val="1120"/>
          <w:jc w:val="center"/>
        </w:trPr>
        <w:tc>
          <w:tcPr>
            <w:tcW w:w="2580" w:type="dxa"/>
            <w:vAlign w:val="center"/>
          </w:tcPr>
          <w:p w14:paraId="16B4163D" w14:textId="77777777" w:rsidR="00A71E4F"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6675D8F4" w14:textId="77777777" w:rsidR="00A71E4F" w:rsidRDefault="00000000">
            <w:pPr>
              <w:pStyle w:val="TableParagraph"/>
              <w:spacing w:before="100" w:beforeAutospacing="1" w:line="360" w:lineRule="auto"/>
              <w:rPr>
                <w:rFonts w:asciiTheme="minorEastAsia" w:eastAsia="宋体" w:hAnsiTheme="minorEastAsia" w:cs="宋体" w:hint="eastAsia"/>
                <w:sz w:val="20"/>
                <w:szCs w:val="20"/>
                <w:lang w:val="en-US"/>
              </w:rPr>
            </w:pPr>
            <w:r>
              <w:rPr>
                <w:rFonts w:asciiTheme="minorEastAsia" w:eastAsiaTheme="minorEastAsia" w:hAnsiTheme="minorEastAsia" w:cs="宋体" w:hint="eastAsia"/>
                <w:sz w:val="20"/>
                <w:szCs w:val="20"/>
                <w:lang w:val="en-US"/>
              </w:rPr>
              <w:t>线上参与甬金股份（603995）2025年第三季度业绩说明会的全体投资者</w:t>
            </w:r>
          </w:p>
        </w:tc>
      </w:tr>
      <w:tr w:rsidR="00A71E4F" w14:paraId="62240FE7" w14:textId="77777777">
        <w:trPr>
          <w:trHeight w:val="558"/>
          <w:jc w:val="center"/>
        </w:trPr>
        <w:tc>
          <w:tcPr>
            <w:tcW w:w="2580" w:type="dxa"/>
            <w:vAlign w:val="center"/>
          </w:tcPr>
          <w:p w14:paraId="1AB4C128" w14:textId="77777777" w:rsidR="00A71E4F"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BD8F10F" w14:textId="77777777" w:rsidR="00A71E4F"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2025年11月07日 15:00-16:00</w:t>
            </w:r>
          </w:p>
        </w:tc>
      </w:tr>
      <w:tr w:rsidR="00A71E4F" w14:paraId="62BEAB04" w14:textId="77777777">
        <w:trPr>
          <w:trHeight w:val="561"/>
          <w:jc w:val="center"/>
        </w:trPr>
        <w:tc>
          <w:tcPr>
            <w:tcW w:w="2580" w:type="dxa"/>
            <w:vAlign w:val="center"/>
          </w:tcPr>
          <w:p w14:paraId="00C70F79" w14:textId="77777777" w:rsidR="00A71E4F"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117A7E7A" w14:textId="77777777" w:rsidR="00A71E4F"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A71E4F" w14:paraId="4F76B52B" w14:textId="77777777">
        <w:trPr>
          <w:trHeight w:val="558"/>
          <w:jc w:val="center"/>
        </w:trPr>
        <w:tc>
          <w:tcPr>
            <w:tcW w:w="2580" w:type="dxa"/>
            <w:vAlign w:val="center"/>
          </w:tcPr>
          <w:p w14:paraId="29355B6D" w14:textId="77777777" w:rsidR="00A71E4F"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2229C971" w14:textId="77777777" w:rsidR="00A71E4F"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董事长、总经理 YU JASON CHEN（虞辰杰）</w:t>
            </w:r>
            <w:r>
              <w:rPr>
                <w:rFonts w:ascii="宋体" w:eastAsia="宋体" w:hAnsi="宋体" w:cs="宋体"/>
                <w:sz w:val="20"/>
                <w:szCs w:val="20"/>
              </w:rPr>
              <w:br/>
              <w:t>董事、副总经理、财务总监 申素贞</w:t>
            </w:r>
            <w:r>
              <w:rPr>
                <w:rFonts w:ascii="宋体" w:eastAsia="宋体" w:hAnsi="宋体" w:cs="宋体"/>
                <w:sz w:val="20"/>
                <w:szCs w:val="20"/>
              </w:rPr>
              <w:br/>
              <w:t>董事会秘书 张天汉</w:t>
            </w:r>
            <w:r>
              <w:rPr>
                <w:rFonts w:ascii="宋体" w:eastAsia="宋体" w:hAnsi="宋体" w:cs="宋体"/>
                <w:sz w:val="20"/>
                <w:szCs w:val="20"/>
              </w:rPr>
              <w:br/>
              <w:t>独立董事 钱晓辉</w:t>
            </w:r>
          </w:p>
        </w:tc>
      </w:tr>
      <w:tr w:rsidR="00A71E4F" w14:paraId="4E2E536D" w14:textId="77777777">
        <w:trPr>
          <w:trHeight w:val="2800"/>
          <w:jc w:val="center"/>
        </w:trPr>
        <w:tc>
          <w:tcPr>
            <w:tcW w:w="2580" w:type="dxa"/>
          </w:tcPr>
          <w:p w14:paraId="63BFE543" w14:textId="77777777" w:rsidR="00A71E4F" w:rsidRDefault="00A71E4F">
            <w:pPr>
              <w:pStyle w:val="TableParagraph"/>
              <w:rPr>
                <w:rFonts w:ascii="宋体" w:eastAsia="宋体" w:hAnsi="宋体" w:cs="宋体" w:hint="eastAsia"/>
                <w:b/>
                <w:bCs/>
                <w:sz w:val="20"/>
                <w:szCs w:val="20"/>
              </w:rPr>
            </w:pPr>
          </w:p>
          <w:p w14:paraId="60D0BA2C" w14:textId="77777777" w:rsidR="00A71E4F" w:rsidRDefault="00A71E4F">
            <w:pPr>
              <w:pStyle w:val="TableParagraph"/>
              <w:rPr>
                <w:rFonts w:ascii="宋体" w:eastAsia="宋体" w:hAnsi="宋体" w:cs="宋体" w:hint="eastAsia"/>
                <w:b/>
                <w:bCs/>
                <w:sz w:val="20"/>
                <w:szCs w:val="20"/>
              </w:rPr>
            </w:pPr>
          </w:p>
          <w:p w14:paraId="14DE49E2" w14:textId="77777777" w:rsidR="00A71E4F" w:rsidRDefault="00A71E4F">
            <w:pPr>
              <w:pStyle w:val="TableParagraph"/>
              <w:spacing w:before="5"/>
              <w:rPr>
                <w:rFonts w:ascii="宋体" w:eastAsia="宋体" w:hAnsi="宋体" w:cs="宋体" w:hint="eastAsia"/>
                <w:b/>
                <w:bCs/>
                <w:sz w:val="20"/>
                <w:szCs w:val="20"/>
              </w:rPr>
            </w:pPr>
          </w:p>
          <w:p w14:paraId="206EE9FC" w14:textId="77777777" w:rsidR="00A71E4F"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010147A6" w14:textId="2D934954" w:rsidR="00A71E4F"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b/>
                <w:sz w:val="20"/>
              </w:rPr>
              <w:t xml:space="preserve">    1.2026年经营计划是多少</w:t>
            </w:r>
            <w:r w:rsidR="00024367">
              <w:rPr>
                <w:rFonts w:ascii="宋体" w:eastAsia="宋体" w:hAnsi="宋体" w:cs="宋体" w:hint="eastAsia"/>
                <w:b/>
                <w:sz w:val="20"/>
              </w:rPr>
              <w:t>？</w:t>
            </w:r>
            <w:r>
              <w:rPr>
                <w:rFonts w:ascii="宋体" w:eastAsia="宋体" w:hAnsi="宋体" w:cs="宋体"/>
                <w:b/>
                <w:sz w:val="20"/>
              </w:rPr>
              <w:br/>
            </w:r>
            <w:r>
              <w:rPr>
                <w:rFonts w:ascii="宋体" w:eastAsia="宋体" w:hAnsi="宋体" w:cs="宋体"/>
                <w:sz w:val="20"/>
              </w:rPr>
              <w:t xml:space="preserve">    答:尊敬的投资者，您好！公司2026年经营计划将根据市场环境、行业政策等因素，结合公司实际情况制定，2026年度经营计划确定后，公司将第一时间通过法定信息披露渠道公告。感谢您的关注！</w:t>
            </w:r>
            <w:r>
              <w:rPr>
                <w:rFonts w:ascii="宋体" w:eastAsia="宋体" w:hAnsi="宋体" w:cs="宋体"/>
                <w:sz w:val="20"/>
              </w:rPr>
              <w:br/>
            </w:r>
            <w:r>
              <w:rPr>
                <w:rFonts w:ascii="宋体" w:eastAsia="宋体" w:hAnsi="宋体" w:cs="宋体"/>
                <w:b/>
                <w:sz w:val="20"/>
              </w:rPr>
              <w:t xml:space="preserve">    2.公司这几年投入巨额的的开发费用，目前已经取得</w:t>
            </w:r>
            <w:r w:rsidR="00024367">
              <w:rPr>
                <w:rFonts w:ascii="宋体" w:eastAsia="宋体" w:hAnsi="宋体" w:cs="宋体" w:hint="eastAsia"/>
                <w:b/>
                <w:sz w:val="20"/>
              </w:rPr>
              <w:t>哪</w:t>
            </w:r>
            <w:r>
              <w:rPr>
                <w:rFonts w:ascii="宋体" w:eastAsia="宋体" w:hAnsi="宋体" w:cs="宋体"/>
                <w:b/>
                <w:sz w:val="20"/>
              </w:rPr>
              <w:t>些实质性的进展。</w:t>
            </w:r>
            <w:r>
              <w:rPr>
                <w:rFonts w:ascii="宋体" w:eastAsia="宋体" w:hAnsi="宋体" w:cs="宋体"/>
                <w:b/>
                <w:sz w:val="20"/>
              </w:rPr>
              <w:br/>
            </w:r>
            <w:r>
              <w:rPr>
                <w:rFonts w:ascii="宋体" w:eastAsia="宋体" w:hAnsi="宋体" w:cs="宋体"/>
                <w:sz w:val="20"/>
              </w:rPr>
              <w:t xml:space="preserve">    答:尊敬的投资者您好，公司聚焦设备智能化改造升级，深入实施产品差异化管理战略。公司开发推广了键盘绝缘涂层专用精密不锈钢环保材料，并已开始进入批量生产阶段；301、304、316的</w:t>
            </w:r>
            <w:r>
              <w:rPr>
                <w:rFonts w:ascii="宋体" w:eastAsia="宋体" w:hAnsi="宋体" w:cs="宋体"/>
                <w:sz w:val="20"/>
              </w:rPr>
              <w:lastRenderedPageBreak/>
              <w:t>超薄高精度软态精密板带在3C、智能设备、新能源汽车（电池预加热材料）、热源散热管理等领域应用广泛；新增304/316L净化板用途，主要应用于墙面装饰、实验室、无尘车间等领域。400系超纯系列产品进一步拓展，产量同比大幅增长，新增436L、QES18等钢种，广泛应用于电梯、汽车排气系统等领域。公司后续将持续优化产业结构布局，通过技术创新与管理变革双轮驱动，全面增强企业核心竞争力。感谢您的关注！</w:t>
            </w:r>
            <w:r>
              <w:rPr>
                <w:rFonts w:ascii="宋体" w:eastAsia="宋体" w:hAnsi="宋体" w:cs="宋体"/>
                <w:sz w:val="20"/>
              </w:rPr>
              <w:br/>
            </w:r>
            <w:r>
              <w:rPr>
                <w:rFonts w:ascii="宋体" w:eastAsia="宋体" w:hAnsi="宋体" w:cs="宋体"/>
                <w:b/>
                <w:sz w:val="20"/>
              </w:rPr>
              <w:t xml:space="preserve">    3.新的董事长在去年上任后，有那些新的举措，在面对股价一直徘徊不前的情况下，是否能与广大的散户有同感，下步会采取措施吗。</w:t>
            </w:r>
            <w:r>
              <w:rPr>
                <w:rFonts w:ascii="宋体" w:eastAsia="宋体" w:hAnsi="宋体" w:cs="宋体"/>
                <w:b/>
                <w:sz w:val="20"/>
              </w:rPr>
              <w:br/>
            </w:r>
            <w:r>
              <w:rPr>
                <w:rFonts w:ascii="宋体" w:eastAsia="宋体" w:hAnsi="宋体" w:cs="宋体"/>
                <w:sz w:val="20"/>
              </w:rPr>
              <w:t xml:space="preserve">    答:尊敬的投资者您好，股价受宏观经济环境变化、二级市场波动等诸多因素影响，公司管理层始终保持高度重视，并密切关注股价表现，致力于提升公司业绩和股东价值。公司未来若有增持回购计划，将严格按照相关规则及要求依法履行决策程序和信息披露业务。感谢您的关注！</w:t>
            </w:r>
            <w:r>
              <w:rPr>
                <w:rFonts w:ascii="宋体" w:eastAsia="宋体" w:hAnsi="宋体" w:cs="宋体"/>
                <w:sz w:val="20"/>
              </w:rPr>
              <w:br/>
            </w:r>
            <w:r>
              <w:rPr>
                <w:rFonts w:ascii="宋体" w:eastAsia="宋体" w:hAnsi="宋体" w:cs="宋体"/>
                <w:b/>
                <w:sz w:val="20"/>
              </w:rPr>
              <w:t xml:space="preserve">    4.在当前的形势下，公司确实取得很好的业绩，下半年是否会保持高比率的分红。</w:t>
            </w:r>
            <w:r>
              <w:rPr>
                <w:rFonts w:ascii="宋体" w:eastAsia="宋体" w:hAnsi="宋体" w:cs="宋体"/>
                <w:b/>
                <w:sz w:val="20"/>
              </w:rPr>
              <w:br/>
            </w:r>
            <w:r>
              <w:rPr>
                <w:rFonts w:ascii="宋体" w:eastAsia="宋体" w:hAnsi="宋体" w:cs="宋体"/>
                <w:sz w:val="20"/>
              </w:rPr>
              <w:t xml:space="preserve">    答:尊敬的投资者您好，公司业绩增长的同时，坚持以高分红回馈股东，2025年4月10日公司披露了《未来三年（2025-2027年）股东分红回报规划》，在前期计划的基础上提升了每年以现金方式分配的利润比例。同时实施了2024年度现金分红，并在2025年半年度也实施了中期分红。后续在满足分红条件的情况下，公司会继续坚持现金分红回报公司股东。感谢您的关注！</w:t>
            </w:r>
            <w:r>
              <w:rPr>
                <w:rFonts w:ascii="宋体" w:eastAsia="宋体" w:hAnsi="宋体" w:cs="宋体"/>
                <w:sz w:val="20"/>
              </w:rPr>
              <w:br/>
            </w:r>
            <w:r>
              <w:rPr>
                <w:rFonts w:ascii="宋体" w:eastAsia="宋体" w:hAnsi="宋体" w:cs="宋体"/>
                <w:b/>
                <w:sz w:val="20"/>
              </w:rPr>
              <w:t xml:space="preserve">    5.您好，能否多点分红，我长期看好咱们公司</w:t>
            </w:r>
            <w:r w:rsidR="00024367">
              <w:rPr>
                <w:rFonts w:ascii="宋体" w:eastAsia="宋体" w:hAnsi="宋体" w:cs="宋体" w:hint="eastAsia"/>
                <w:b/>
                <w:sz w:val="20"/>
              </w:rPr>
              <w:t>。</w:t>
            </w:r>
            <w:r>
              <w:rPr>
                <w:rFonts w:ascii="宋体" w:eastAsia="宋体" w:hAnsi="宋体" w:cs="宋体"/>
                <w:b/>
                <w:sz w:val="20"/>
              </w:rPr>
              <w:br/>
            </w:r>
            <w:r>
              <w:rPr>
                <w:rFonts w:ascii="宋体" w:eastAsia="宋体" w:hAnsi="宋体" w:cs="宋体"/>
                <w:sz w:val="20"/>
              </w:rPr>
              <w:t xml:space="preserve">    答:尊敬的投资者您好，公司坚持以高分红回馈股东，后续在满足分红条件及结合资本开资的情况下，公司会继续坚持高分红回报公司股东。感谢您的关注！</w:t>
            </w:r>
            <w:r>
              <w:rPr>
                <w:rFonts w:ascii="宋体" w:eastAsia="宋体" w:hAnsi="宋体" w:cs="宋体"/>
                <w:sz w:val="20"/>
              </w:rPr>
              <w:br/>
            </w:r>
            <w:r>
              <w:rPr>
                <w:rFonts w:ascii="宋体" w:eastAsia="宋体" w:hAnsi="宋体" w:cs="宋体"/>
                <w:b/>
                <w:sz w:val="20"/>
              </w:rPr>
              <w:t xml:space="preserve">    6.新的一届董事会对市值管理的问题是如何考虑的，是否会推出股权的激励机制</w:t>
            </w:r>
            <w:r w:rsidR="00024367">
              <w:rPr>
                <w:rFonts w:ascii="宋体" w:eastAsia="宋体" w:hAnsi="宋体" w:cs="宋体" w:hint="eastAsia"/>
                <w:b/>
                <w:sz w:val="20"/>
              </w:rPr>
              <w:t>？</w:t>
            </w:r>
            <w:r>
              <w:rPr>
                <w:rFonts w:ascii="宋体" w:eastAsia="宋体" w:hAnsi="宋体" w:cs="宋体"/>
                <w:b/>
                <w:sz w:val="20"/>
              </w:rPr>
              <w:br/>
            </w:r>
            <w:r>
              <w:rPr>
                <w:rFonts w:ascii="宋体" w:eastAsia="宋体" w:hAnsi="宋体" w:cs="宋体"/>
                <w:sz w:val="20"/>
              </w:rPr>
              <w:t xml:space="preserve">    答:尊敬的投资者您好，新的一届董事会高度重视公司规范运营和市值管理工作。同时，公司将坚持长期稳定的现金分红政策，与股东共享发展成果，积极提升投资者回报水平，丰富投资者回报方式，努力实现公司价值和股东利益最大化。公司将审慎考虑和制定相关激励机制，后续根据实际情况和发展需要适时推出股权激励计划。感谢您对公司的关注。</w:t>
            </w:r>
            <w:r>
              <w:rPr>
                <w:rFonts w:ascii="宋体" w:eastAsia="宋体" w:hAnsi="宋体" w:cs="宋体"/>
                <w:sz w:val="20"/>
              </w:rPr>
              <w:br/>
            </w:r>
            <w:r>
              <w:rPr>
                <w:rFonts w:ascii="宋体" w:eastAsia="宋体" w:hAnsi="宋体" w:cs="宋体"/>
                <w:b/>
                <w:sz w:val="20"/>
              </w:rPr>
              <w:lastRenderedPageBreak/>
              <w:t xml:space="preserve">    7.新的虞董事长，接过甬金股份的重任后，对公司的发展有什么样具体的愿景。</w:t>
            </w:r>
            <w:r>
              <w:rPr>
                <w:rFonts w:ascii="宋体" w:eastAsia="宋体" w:hAnsi="宋体" w:cs="宋体"/>
                <w:b/>
                <w:sz w:val="20"/>
              </w:rPr>
              <w:br/>
            </w:r>
            <w:r>
              <w:rPr>
                <w:rFonts w:ascii="宋体" w:eastAsia="宋体" w:hAnsi="宋体" w:cs="宋体"/>
                <w:sz w:val="20"/>
              </w:rPr>
              <w:t xml:space="preserve">    答:尊敬的投资者您好，公司秉承“团结、高效、务实、发展”的经营宗旨，以“诚信为本、创优质品质、科技致远、铸一流企业”为愿景。将在稳定现有冷轧不锈钢板带市场优势的基础上，以市场需求为导向，以技术创新和产品开发为手段，积极推进产品创新、管理创新和技术创新，不断优化公司产品结构、提升产品性能，优化现有生产工序体系，不断提升公司产品市场占有率，增强公司市场竞争实力。同时，公司响应国家“一带一路”发展战略，抓住当前发展机遇，积极拓展海外业务，进行海外战略布局，提升公司国际竞争力。公司致力于发展成为具有全球影响力和市场竞争力的专业不锈钢冷轧企业。感谢您的关注！</w:t>
            </w:r>
            <w:r>
              <w:rPr>
                <w:rFonts w:ascii="宋体" w:eastAsia="宋体" w:hAnsi="宋体" w:cs="宋体"/>
                <w:sz w:val="20"/>
              </w:rPr>
              <w:br/>
            </w:r>
            <w:r>
              <w:rPr>
                <w:rFonts w:ascii="宋体" w:eastAsia="宋体" w:hAnsi="宋体" w:cs="宋体"/>
                <w:b/>
                <w:sz w:val="20"/>
              </w:rPr>
              <w:t xml:space="preserve">    8.研发费用同比下降6.24%，未来研发投入将重点聚焦哪些技术方向？</w:t>
            </w:r>
            <w:r>
              <w:rPr>
                <w:rFonts w:ascii="宋体" w:eastAsia="宋体" w:hAnsi="宋体" w:cs="宋体"/>
                <w:b/>
                <w:sz w:val="20"/>
              </w:rPr>
              <w:br/>
            </w:r>
            <w:r>
              <w:rPr>
                <w:rFonts w:ascii="宋体" w:eastAsia="宋体" w:hAnsi="宋体" w:cs="宋体"/>
                <w:sz w:val="20"/>
              </w:rPr>
              <w:t xml:space="preserve">    答:尊敬的投资者您好，公司一直致力于持续研发和产品创新，未来公司将持续加大高品质、高附加值不锈钢冷轧产品及新材料产品（预镀镍钢带、钛材、复合材料等）的研发投入，以保持公司的竞争力。感谢您对公司的关注！</w:t>
            </w:r>
            <w:r>
              <w:rPr>
                <w:rFonts w:ascii="宋体" w:eastAsia="宋体" w:hAnsi="宋体" w:cs="宋体"/>
                <w:sz w:val="20"/>
              </w:rPr>
              <w:br/>
            </w:r>
            <w:r>
              <w:rPr>
                <w:rFonts w:ascii="宋体" w:eastAsia="宋体" w:hAnsi="宋体" w:cs="宋体"/>
                <w:b/>
                <w:sz w:val="20"/>
              </w:rPr>
              <w:t xml:space="preserve">    9.浙江镨赛新材料公司的营运如何，是否已经按计划达产。</w:t>
            </w:r>
            <w:r>
              <w:rPr>
                <w:rFonts w:ascii="宋体" w:eastAsia="宋体" w:hAnsi="宋体" w:cs="宋体"/>
                <w:b/>
                <w:sz w:val="20"/>
              </w:rPr>
              <w:br/>
            </w:r>
            <w:r>
              <w:rPr>
                <w:rFonts w:ascii="宋体" w:eastAsia="宋体" w:hAnsi="宋体" w:cs="宋体"/>
                <w:sz w:val="20"/>
              </w:rPr>
              <w:t xml:space="preserve">    答:尊敬的投资者您好，浙江镨赛一期项目年加工7.5万吨柱状电池外壳专用材料生产线已建成投产，已与国内多家电池厂商对接送样，由于相关产品检验周期较长，目前尚未批量化生产。感谢您对公司的关注。</w:t>
            </w:r>
            <w:r>
              <w:rPr>
                <w:rFonts w:ascii="宋体" w:eastAsia="宋体" w:hAnsi="宋体" w:cs="宋体"/>
                <w:sz w:val="20"/>
              </w:rPr>
              <w:br/>
            </w:r>
            <w:r>
              <w:rPr>
                <w:rFonts w:ascii="宋体" w:eastAsia="宋体" w:hAnsi="宋体" w:cs="宋体"/>
                <w:b/>
                <w:sz w:val="20"/>
              </w:rPr>
              <w:t xml:space="preserve">    10.公司未来将如何拓展下游应用场景或客户群体？2026年营收增长目标是什么？</w:t>
            </w:r>
            <w:r>
              <w:rPr>
                <w:rFonts w:ascii="宋体" w:eastAsia="宋体" w:hAnsi="宋体" w:cs="宋体"/>
                <w:b/>
                <w:sz w:val="20"/>
              </w:rPr>
              <w:br/>
            </w:r>
            <w:r>
              <w:rPr>
                <w:rFonts w:ascii="宋体" w:eastAsia="宋体" w:hAnsi="宋体" w:cs="宋体"/>
                <w:sz w:val="20"/>
              </w:rPr>
              <w:t xml:space="preserve">    答:尊敬的投资者您好。公司将继续聚焦不锈钢主业，并利用产业链整合优势实施一体两翼多元化发展战略。在下游应用场景和客户群体拓展方面，公司将重点发展新材料和海外业务，同时聚焦成本管控，通过优化工艺技术、集采降低原辅料消耗、提高设备运转效率等措施进一步优化管理。此外，公司将通过日常能源管控、产品制造环节精细化管理等措施全方位、多层次、广维度开展管理工作，实现降本增效。至于2026年的营收增长目标，公司将根据市场情况和经营策略适时制定并公告相关目标。感谢您对公司的关注。</w:t>
            </w:r>
            <w:r>
              <w:rPr>
                <w:rFonts w:ascii="宋体" w:eastAsia="宋体" w:hAnsi="宋体" w:cs="宋体"/>
                <w:sz w:val="20"/>
              </w:rPr>
              <w:br/>
            </w:r>
            <w:r>
              <w:rPr>
                <w:rFonts w:ascii="宋体" w:eastAsia="宋体" w:hAnsi="宋体" w:cs="宋体"/>
                <w:b/>
                <w:sz w:val="20"/>
              </w:rPr>
              <w:t xml:space="preserve">    11.20、21、22、23等年公司均有新的项目、及收购行动，25</w:t>
            </w:r>
            <w:r>
              <w:rPr>
                <w:rFonts w:ascii="宋体" w:eastAsia="宋体" w:hAnsi="宋体" w:cs="宋体"/>
                <w:b/>
                <w:sz w:val="20"/>
              </w:rPr>
              <w:lastRenderedPageBreak/>
              <w:t>是否会有些重大的动作。</w:t>
            </w:r>
            <w:r>
              <w:rPr>
                <w:rFonts w:ascii="宋体" w:eastAsia="宋体" w:hAnsi="宋体" w:cs="宋体"/>
                <w:b/>
                <w:sz w:val="20"/>
              </w:rPr>
              <w:br/>
            </w:r>
            <w:r>
              <w:rPr>
                <w:rFonts w:ascii="宋体" w:eastAsia="宋体" w:hAnsi="宋体" w:cs="宋体"/>
                <w:sz w:val="20"/>
              </w:rPr>
              <w:t xml:space="preserve">    答:尊敬的投资者您好，相关情况请关注后续公司披露的公告。感谢您对公司的关注。</w:t>
            </w:r>
            <w:r>
              <w:rPr>
                <w:rFonts w:ascii="宋体" w:eastAsia="宋体" w:hAnsi="宋体" w:cs="宋体"/>
                <w:sz w:val="20"/>
              </w:rPr>
              <w:br/>
            </w:r>
            <w:r>
              <w:rPr>
                <w:rFonts w:ascii="宋体" w:eastAsia="宋体" w:hAnsi="宋体" w:cs="宋体"/>
                <w:b/>
                <w:sz w:val="20"/>
              </w:rPr>
              <w:t xml:space="preserve">    12.后续在供应链付款管理、客户回款效率上有何优化举措？2025全年现金流增长目标是多少？</w:t>
            </w:r>
            <w:r>
              <w:rPr>
                <w:rFonts w:ascii="宋体" w:eastAsia="宋体" w:hAnsi="宋体" w:cs="宋体"/>
                <w:b/>
                <w:sz w:val="20"/>
              </w:rPr>
              <w:br/>
            </w:r>
            <w:r>
              <w:rPr>
                <w:rFonts w:ascii="宋体" w:eastAsia="宋体" w:hAnsi="宋体" w:cs="宋体"/>
                <w:sz w:val="20"/>
              </w:rPr>
              <w:t xml:space="preserve">    答:尊敬的投资者您好，公司会通过提高供应链管理效率、优化库存水平、加强与供应商的沟通协调、加快客户信用管理、提升收付款流程的效率等多种措施来改善现金流状况。至于具体的现金流增长目标，这需要根据公司的战略规划、市场环境、业务发展等多方面因素综合考量。 您可以关注公司定期发布的财务报告和相关公告，会详细披露公司的现金流状况以及未来的财务预期。公司也将致力于通过各种措施提升现金流的管理效率，以实现健康稳定的财务状况，进一步增强公司的市场竞争力。感谢您对公司的关注。</w:t>
            </w:r>
            <w:r>
              <w:rPr>
                <w:rFonts w:ascii="宋体" w:eastAsia="宋体" w:hAnsi="宋体" w:cs="宋体"/>
                <w:sz w:val="20"/>
              </w:rPr>
              <w:br/>
            </w:r>
            <w:r>
              <w:rPr>
                <w:rFonts w:ascii="宋体" w:eastAsia="宋体" w:hAnsi="宋体" w:cs="宋体"/>
                <w:b/>
                <w:sz w:val="20"/>
              </w:rPr>
              <w:t xml:space="preserve">    13.有几个问题想向管理层了解，1.请介绍公司目前总体的产能利用率情况  2. 越南新越项目二期目前的产能利用率情况  3.2025年底的有息负债债务水平是否会进行控制。谢谢!</w:t>
            </w:r>
            <w:r>
              <w:rPr>
                <w:rFonts w:ascii="宋体" w:eastAsia="宋体" w:hAnsi="宋体" w:cs="宋体"/>
                <w:b/>
                <w:sz w:val="20"/>
              </w:rPr>
              <w:br/>
            </w:r>
            <w:r>
              <w:rPr>
                <w:rFonts w:ascii="宋体" w:eastAsia="宋体" w:hAnsi="宋体" w:cs="宋体"/>
                <w:sz w:val="20"/>
              </w:rPr>
              <w:t xml:space="preserve">    答:尊敬的投资者您好！随着公司近年来新项目的投入，公司整体产能稳步提升。因部分项目属于新建项目，公司整体产能利用率超95%，处于行业领先地位。越南新越项目二期因受越南对中国、印尼不锈钢冷轧产品反倾销政策放开的影响，产能尚处于爬坡阶段，现公司已经在积极收集资料，将对中国、印尼不锈钢冷轧产品重新发起反倾销诉讼申请。对于有息负债，公司将结合实际经营情况努力进一步优化资金结构，把负债率控制在合理水平。感谢您的关注！</w:t>
            </w:r>
            <w:r>
              <w:rPr>
                <w:rFonts w:ascii="宋体" w:eastAsia="宋体" w:hAnsi="宋体" w:cs="宋体"/>
                <w:sz w:val="20"/>
              </w:rPr>
              <w:br/>
            </w:r>
            <w:r>
              <w:rPr>
                <w:rFonts w:ascii="宋体" w:eastAsia="宋体" w:hAnsi="宋体" w:cs="宋体"/>
                <w:b/>
                <w:sz w:val="20"/>
              </w:rPr>
              <w:t xml:space="preserve">    14.公司作为一家老牌的不锈钢上市公司，技术水平、产品质量、成本控制在业内目前做到了极致。随着整个通缩宏观环境，企业是否找到新的发展的依赖的路径？来使甬金在新的十五五时期发展中取得傲人的成绩。</w:t>
            </w:r>
            <w:r>
              <w:rPr>
                <w:rFonts w:ascii="宋体" w:eastAsia="宋体" w:hAnsi="宋体" w:cs="宋体"/>
                <w:b/>
                <w:sz w:val="20"/>
              </w:rPr>
              <w:br/>
            </w:r>
            <w:r>
              <w:rPr>
                <w:rFonts w:ascii="宋体" w:eastAsia="宋体" w:hAnsi="宋体" w:cs="宋体"/>
                <w:sz w:val="20"/>
              </w:rPr>
              <w:t xml:space="preserve">    答:尊敬的投资者您好，公司将继续坚持不锈钢主业，并利用产业链整合优势实施一体两翼多元化发展战略。具体措施包括优化工艺技术、集采降低原辅料消耗、提高设备运转效率、提升产品成材率、提升工作效率等措施进一步优化管理，实现降本增效。此外，公司还将重点发展新材料和海外业务，将产能布局延伸至海外市场和新材料领域。通过这些措施，甬金股份有信心在新的十五五</w:t>
            </w:r>
            <w:r>
              <w:rPr>
                <w:rFonts w:ascii="宋体" w:eastAsia="宋体" w:hAnsi="宋体" w:cs="宋体"/>
                <w:sz w:val="20"/>
              </w:rPr>
              <w:lastRenderedPageBreak/>
              <w:t>时期发展中取得一定成绩。感谢您对公司的关注。</w:t>
            </w:r>
            <w:r>
              <w:rPr>
                <w:rFonts w:ascii="宋体" w:eastAsia="宋体" w:hAnsi="宋体" w:cs="宋体"/>
                <w:sz w:val="20"/>
              </w:rPr>
              <w:br/>
            </w:r>
            <w:r>
              <w:rPr>
                <w:rFonts w:ascii="宋体" w:eastAsia="宋体" w:hAnsi="宋体" w:cs="宋体"/>
                <w:b/>
                <w:sz w:val="20"/>
              </w:rPr>
              <w:t xml:space="preserve">    15.泰国最近对自越南进口冷轧不锈钢加征反倾销税，同时有报道中国台湾地区即将对自越南进口的冷轧不锈钢展开贸易调查，想了解这一些列措施对公司越南产能的影响</w:t>
            </w:r>
            <w:r>
              <w:rPr>
                <w:rFonts w:ascii="宋体" w:eastAsia="宋体" w:hAnsi="宋体" w:cs="宋体"/>
                <w:b/>
                <w:sz w:val="20"/>
              </w:rPr>
              <w:br/>
            </w:r>
            <w:r>
              <w:rPr>
                <w:rFonts w:ascii="宋体" w:eastAsia="宋体" w:hAnsi="宋体" w:cs="宋体"/>
                <w:sz w:val="20"/>
              </w:rPr>
              <w:t xml:space="preserve">    答:尊敬的投资者您好！近年来，公司积极投资东南亚市场，推进全球化布局，越南2个生产基地均已投产，泰国项目也正在建设当中。泰国对自越南进口冷轧不锈钢加征反倾销税，以及中国台湾地区即将对自越南进口的冷轧不锈钢展开贸易调查，这些贸易措施可能会对公司在越南的产能产生短期影响。公司将结合国际贸易政策，积极拓展出口市场的同时，加大产品市场本土化。感谢您的关注！</w:t>
            </w:r>
            <w:r>
              <w:rPr>
                <w:rFonts w:ascii="宋体" w:eastAsia="宋体" w:hAnsi="宋体" w:cs="宋体"/>
                <w:sz w:val="20"/>
              </w:rPr>
              <w:br/>
            </w:r>
            <w:r>
              <w:rPr>
                <w:rFonts w:ascii="宋体" w:eastAsia="宋体" w:hAnsi="宋体" w:cs="宋体"/>
                <w:b/>
                <w:sz w:val="20"/>
              </w:rPr>
              <w:t xml:space="preserve">    16.甬金公司是一家精品的企业，企业发展非常稳健有力，除了部分发展中的噪音外，其他方面非常正常，寄希望有新的董事长的领导下，企业能够焕发出新的勃勃生机。</w:t>
            </w:r>
            <w:r>
              <w:rPr>
                <w:rFonts w:ascii="宋体" w:eastAsia="宋体" w:hAnsi="宋体" w:cs="宋体"/>
                <w:b/>
                <w:sz w:val="20"/>
              </w:rPr>
              <w:br/>
            </w:r>
            <w:r>
              <w:rPr>
                <w:rFonts w:ascii="宋体" w:eastAsia="宋体" w:hAnsi="宋体" w:cs="宋体"/>
                <w:sz w:val="20"/>
              </w:rPr>
              <w:t xml:space="preserve">    答:感谢您对公司的认可。</w:t>
            </w:r>
          </w:p>
        </w:tc>
      </w:tr>
      <w:tr w:rsidR="00A71E4F" w14:paraId="148EEF30" w14:textId="77777777">
        <w:trPr>
          <w:trHeight w:val="999"/>
          <w:jc w:val="center"/>
        </w:trPr>
        <w:tc>
          <w:tcPr>
            <w:tcW w:w="2580" w:type="dxa"/>
            <w:vAlign w:val="center"/>
          </w:tcPr>
          <w:p w14:paraId="62DE7681" w14:textId="77777777" w:rsidR="00A71E4F"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1A5F2E47" w14:textId="77777777" w:rsidR="00A71E4F"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0A612BFB" w14:textId="77777777" w:rsidR="00A71E4F"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A71E4F" w14:paraId="54050688" w14:textId="77777777">
        <w:trPr>
          <w:trHeight w:val="558"/>
          <w:jc w:val="center"/>
        </w:trPr>
        <w:tc>
          <w:tcPr>
            <w:tcW w:w="2580" w:type="dxa"/>
            <w:vAlign w:val="center"/>
          </w:tcPr>
          <w:p w14:paraId="075AE87F" w14:textId="77777777" w:rsidR="00A71E4F"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07A380FA" w14:textId="77777777" w:rsidR="00A71E4F" w:rsidRDefault="00A71E4F">
            <w:pPr>
              <w:pStyle w:val="TableParagraph"/>
              <w:spacing w:before="100" w:beforeAutospacing="1" w:line="360" w:lineRule="auto"/>
              <w:rPr>
                <w:rFonts w:ascii="宋体" w:eastAsia="宋体" w:hAnsi="宋体" w:cs="宋体" w:hint="eastAsia"/>
                <w:sz w:val="20"/>
                <w:szCs w:val="20"/>
              </w:rPr>
            </w:pPr>
          </w:p>
        </w:tc>
      </w:tr>
      <w:tr w:rsidR="00A71E4F" w14:paraId="556C6328" w14:textId="77777777">
        <w:trPr>
          <w:trHeight w:val="558"/>
          <w:jc w:val="center"/>
        </w:trPr>
        <w:tc>
          <w:tcPr>
            <w:tcW w:w="2580" w:type="dxa"/>
            <w:vAlign w:val="center"/>
          </w:tcPr>
          <w:p w14:paraId="22ED12AA" w14:textId="77777777" w:rsidR="00A71E4F"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4CF9FDCF" w14:textId="77777777" w:rsidR="00A71E4F"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2025年11月07日</w:t>
            </w:r>
          </w:p>
        </w:tc>
      </w:tr>
    </w:tbl>
    <w:p w14:paraId="6EB6C492" w14:textId="77777777" w:rsidR="00A71E4F" w:rsidRDefault="00A71E4F">
      <w:pPr>
        <w:rPr>
          <w:rFonts w:ascii="宋体" w:eastAsia="宋体" w:hAnsi="宋体" w:cs="宋体" w:hint="eastAsia"/>
          <w:sz w:val="28"/>
          <w:szCs w:val="36"/>
        </w:rPr>
      </w:pPr>
    </w:p>
    <w:sectPr w:rsidR="00A71E4F">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4367"/>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1E4F"/>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DE752D"/>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3966888"/>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0E92F"/>
  <w15:docId w15:val="{CB80C8C5-5E53-4B67-BD8F-3BE9800A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1884</Words>
  <Characters>1979</Characters>
  <Application>Microsoft Office Word</Application>
  <DocSecurity>0</DocSecurity>
  <Lines>98</Lines>
  <Paragraphs>27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凯 程</cp:lastModifiedBy>
  <cp:revision>8</cp:revision>
  <dcterms:created xsi:type="dcterms:W3CDTF">2022-04-12T06:10:00Z</dcterms:created>
  <dcterms:modified xsi:type="dcterms:W3CDTF">2025-11-07T08:24:00Z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57D148DF2F764966BF4E1C38A6255FA2</vt:lpwstr>
  </property>
  <property fmtid="{D5CDD505-2E9C-101B-9397-08002B2CF9AE}" pid="4" name="KSOTemplateDocerSaveRecord">
    <vt:lpwstr>eyJoZGlkIjoiOGM5NTU1N2RhMWY0YTA0NTk3MGY0YjY5ODdkZWVlM2UiLCJ1c2VySWQiOiIyNDU4NTQzMjEifQ==</vt:lpwstr>
  </property>
</Properties>
</file>