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D77D" w14:textId="77777777" w:rsidR="00A3619A" w:rsidRDefault="00AC3E33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证券代码：600231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证券简称：凌钢股份</w:t>
      </w:r>
    </w:p>
    <w:p w14:paraId="0A2ADCD7" w14:textId="39288BE4" w:rsidR="00A3619A" w:rsidRDefault="000C326A" w:rsidP="000C326A">
      <w:pPr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转债代码：110070                                           转债简称：凌钢转债</w:t>
      </w:r>
    </w:p>
    <w:p w14:paraId="638B8012" w14:textId="77777777" w:rsidR="000C326A" w:rsidRDefault="000C326A" w:rsidP="000C326A">
      <w:pPr>
        <w:rPr>
          <w:rFonts w:ascii="宋体" w:eastAsia="宋体" w:hAnsi="宋体" w:cs="宋体"/>
          <w:sz w:val="20"/>
          <w:szCs w:val="20"/>
          <w:lang w:val="en-US"/>
        </w:rPr>
      </w:pPr>
    </w:p>
    <w:p w14:paraId="79BD0EFF" w14:textId="77777777" w:rsidR="000C326A" w:rsidRPr="000C326A" w:rsidRDefault="000C326A" w:rsidP="000C326A">
      <w:pPr>
        <w:rPr>
          <w:rFonts w:ascii="宋体" w:eastAsia="宋体" w:hAnsi="宋体" w:cs="宋体"/>
          <w:sz w:val="20"/>
          <w:szCs w:val="20"/>
          <w:lang w:val="en-US"/>
        </w:rPr>
      </w:pPr>
    </w:p>
    <w:p w14:paraId="32FBF9B6" w14:textId="77777777" w:rsidR="00A3619A" w:rsidRDefault="00AC3E33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凌源钢铁股份有限公司</w:t>
      </w:r>
    </w:p>
    <w:p w14:paraId="5D207C3A" w14:textId="77777777" w:rsidR="00A3619A" w:rsidRDefault="00AC3E33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678D5B38" w14:textId="7732C01E" w:rsidR="00A3619A" w:rsidRDefault="00AC3E33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2025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0C326A">
        <w:rPr>
          <w:rFonts w:ascii="宋体" w:eastAsia="宋体" w:hAnsi="宋体" w:cs="宋体" w:hint="eastAsia"/>
          <w:sz w:val="20"/>
          <w:szCs w:val="20"/>
        </w:rPr>
        <w:t>010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A3619A" w14:paraId="3E6EBAC8" w14:textId="77777777">
        <w:trPr>
          <w:trHeight w:val="2801"/>
          <w:jc w:val="center"/>
        </w:trPr>
        <w:tc>
          <w:tcPr>
            <w:tcW w:w="2580" w:type="dxa"/>
          </w:tcPr>
          <w:p w14:paraId="251F3084" w14:textId="77777777" w:rsidR="00A3619A" w:rsidRDefault="00A3619A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E140702" w14:textId="77777777" w:rsidR="00A3619A" w:rsidRDefault="00AC3E3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06CC7231" w14:textId="77777777" w:rsidR="00A3619A" w:rsidRDefault="00A3619A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CA3F1A3" w14:textId="77777777" w:rsidR="00A3619A" w:rsidRDefault="001C5F64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6303E6E4" w14:textId="77777777" w:rsidR="00A3619A" w:rsidRDefault="00A3619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EC84710" w14:textId="77777777" w:rsidR="00A3619A" w:rsidRDefault="001C5F6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61448E31" w14:textId="77777777" w:rsidR="00A3619A" w:rsidRDefault="00A3619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599C563" w14:textId="77777777" w:rsidR="00A3619A" w:rsidRDefault="001C5F64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AC3E33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395A984A" w14:textId="77777777" w:rsidR="00A3619A" w:rsidRDefault="00A3619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6C12E1E4" w14:textId="77777777" w:rsidR="00A3619A" w:rsidRDefault="001C5F6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5887078B" w14:textId="77777777" w:rsidR="00A3619A" w:rsidRDefault="00A3619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6819462" w14:textId="77777777" w:rsidR="00A3619A" w:rsidRDefault="001C5F64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C3E33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AC3E33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AC3E33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A3619A" w14:paraId="6ED695E3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5D4413FE" w14:textId="77777777" w:rsidR="00A3619A" w:rsidRDefault="00AC3E33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C18A442" w14:textId="77777777" w:rsidR="00A3619A" w:rsidRDefault="00AC3E3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线上参与公司2025年第三季度业绩说明会的全体投资者</w:t>
            </w:r>
          </w:p>
        </w:tc>
      </w:tr>
      <w:tr w:rsidR="00A3619A" w14:paraId="317B3FA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FB6BA3F" w14:textId="77777777" w:rsidR="00A3619A" w:rsidRDefault="00AC3E33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2B72A38A" w14:textId="77777777" w:rsidR="00A3619A" w:rsidRDefault="00AC3E33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2025年11月07日 15:00-16:00</w:t>
            </w:r>
          </w:p>
        </w:tc>
      </w:tr>
      <w:tr w:rsidR="00A3619A" w14:paraId="65084190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1938FA9E" w14:textId="77777777" w:rsidR="00A3619A" w:rsidRDefault="00AC3E33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632D1091" w14:textId="77777777" w:rsidR="00A3619A" w:rsidRDefault="00AC3E33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A3619A" w14:paraId="1EBBD36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C29F2E0" w14:textId="77777777" w:rsidR="00A3619A" w:rsidRDefault="00AC3E3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50EB67F5" w14:textId="77777777" w:rsidR="00A3619A" w:rsidRDefault="00AC3E33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总经理 张立新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董事、副总经理、总会计师、董事会秘书 由宇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姜作玖</w:t>
            </w:r>
          </w:p>
        </w:tc>
      </w:tr>
      <w:tr w:rsidR="00A3619A" w14:paraId="2B4B7C8C" w14:textId="77777777">
        <w:trPr>
          <w:trHeight w:val="2800"/>
          <w:jc w:val="center"/>
        </w:trPr>
        <w:tc>
          <w:tcPr>
            <w:tcW w:w="2580" w:type="dxa"/>
          </w:tcPr>
          <w:p w14:paraId="6CC55C91" w14:textId="77777777" w:rsidR="00A3619A" w:rsidRDefault="00A3619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75D44EB" w14:textId="77777777" w:rsidR="00A3619A" w:rsidRDefault="00A3619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FA6A481" w14:textId="77777777" w:rsidR="00A3619A" w:rsidRDefault="00A3619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E3919C8" w14:textId="77777777" w:rsidR="00A3619A" w:rsidRDefault="00AC3E33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80004FE" w14:textId="249EF50D" w:rsidR="00C76915" w:rsidRDefault="00AC3E33" w:rsidP="00C76915">
            <w:pPr>
              <w:pStyle w:val="TableParagraph"/>
              <w:spacing w:line="360" w:lineRule="auto"/>
              <w:ind w:firstLine="420"/>
              <w:rPr>
                <w:rFonts w:ascii="宋体" w:eastAsia="宋体" w:hAnsi="宋体" w:cs="宋体" w:hint="eastAsia"/>
                <w:sz w:val="20"/>
              </w:rPr>
            </w:pPr>
            <w:bookmarkStart w:id="0" w:name="OLE_LINK154"/>
            <w:bookmarkStart w:id="1" w:name="OLE_LINK155"/>
            <w:r>
              <w:rPr>
                <w:rFonts w:ascii="宋体" w:eastAsia="宋体" w:hAnsi="宋体" w:cs="宋体"/>
                <w:b/>
                <w:sz w:val="20"/>
              </w:rPr>
              <w:t>1.2025年第三季度公司 “去螺增优” 战略推进情况如何，优特钢材产量占比较上季度提升多少？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三季度优特钢产量82.13万吨，较二季度增长13.49万吨，占比63.64%，较二季度降低0.78%。占比降低主要是产品结构影响，6#高炉5月底投产，6月末达产后三季度铁钢产量大幅提升，其中钢产量增幅达到18.86%，优特钢产线全力提效难以消化全部钢产量，导致螺纹钢消耗多余钢产量后环比增产14.01万吨，优特钢占比下降。</w:t>
            </w:r>
            <w:r>
              <w:rPr>
                <w:rFonts w:ascii="宋体" w:eastAsia="宋体" w:hAnsi="宋体" w:cs="宋体"/>
                <w:sz w:val="20"/>
              </w:rPr>
              <w:br/>
            </w:r>
            <w:bookmarkEnd w:id="0"/>
            <w:bookmarkEnd w:id="1"/>
            <w:r>
              <w:rPr>
                <w:rFonts w:ascii="宋体" w:eastAsia="宋体" w:hAnsi="宋体" w:cs="宋体"/>
                <w:b/>
                <w:sz w:val="20"/>
              </w:rPr>
              <w:t xml:space="preserve">  </w:t>
            </w:r>
            <w:bookmarkStart w:id="2" w:name="OLE_LINK156"/>
            <w:bookmarkStart w:id="3" w:name="OLE_LINK157"/>
            <w:r>
              <w:rPr>
                <w:rFonts w:ascii="宋体" w:eastAsia="宋体" w:hAnsi="宋体" w:cs="宋体"/>
                <w:b/>
                <w:sz w:val="20"/>
              </w:rPr>
              <w:t xml:space="preserve">  2.第三季度公司营业收入同比增长18.67%，主要原因是什么？有什么扭亏为盈的计划吗？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答:第三季度公司营业收入同比增长主要是钢材销量135.07万</w:t>
            </w:r>
            <w:r>
              <w:rPr>
                <w:rFonts w:ascii="宋体" w:eastAsia="宋体" w:hAnsi="宋体" w:cs="宋体"/>
                <w:sz w:val="20"/>
              </w:rPr>
              <w:lastRenderedPageBreak/>
              <w:t xml:space="preserve">吨，比上年同期增加21.89万吨，增加收入6.71亿元，提高18.17%。公司为实现减亏，聚焦收入、成本、效率三大提升维度，系统推进三大攻坚行动： </w:t>
            </w:r>
          </w:p>
          <w:p w14:paraId="012BB7B0" w14:textId="77777777" w:rsidR="00C76915" w:rsidRDefault="00AC3E33" w:rsidP="00C76915">
            <w:pPr>
              <w:pStyle w:val="TableParagraph"/>
              <w:spacing w:line="360" w:lineRule="auto"/>
              <w:ind w:firstLine="420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 xml:space="preserve">（1）锚定售价提升，深化算账经营。以全面预算管理为核心，紧扣收入增长主线，将 “算账经营” 理念贯穿产品定价与渠道拓展全流程，构建全链条闭环管理体系。组建 “提价尖刀连”，下设主攻组与尖刀组，通过成熟品种结构优化、行业新市场开发双路径，实现渠道稳定、结构升级、市场拓展的协同突破。 </w:t>
            </w:r>
          </w:p>
          <w:p w14:paraId="7E1B7ADC" w14:textId="77777777" w:rsidR="00C76915" w:rsidRDefault="00AC3E33" w:rsidP="00C76915">
            <w:pPr>
              <w:pStyle w:val="TableParagraph"/>
              <w:spacing w:line="360" w:lineRule="auto"/>
              <w:ind w:firstLine="420"/>
              <w:rPr>
                <w:rFonts w:ascii="宋体" w:eastAsia="宋体" w:hAnsi="宋体" w:cs="宋体" w:hint="eastAsia"/>
                <w:sz w:val="20"/>
              </w:rPr>
            </w:pPr>
            <w:r>
              <w:rPr>
                <w:rFonts w:ascii="宋体" w:eastAsia="宋体" w:hAnsi="宋体" w:cs="宋体"/>
                <w:sz w:val="20"/>
              </w:rPr>
              <w:t>（2）狠抓降本增效，严控成本支出。聚焦采购与生产工序核心环节，以全链条管控筑牢利润根基</w:t>
            </w:r>
            <w:bookmarkStart w:id="4" w:name="_GoBack"/>
            <w:bookmarkEnd w:id="4"/>
            <w:r>
              <w:rPr>
                <w:rFonts w:ascii="宋体" w:eastAsia="宋体" w:hAnsi="宋体" w:cs="宋体"/>
                <w:sz w:val="20"/>
              </w:rPr>
              <w:t xml:space="preserve">。优化采购渠道，推进直接采购与性价比采购，由“砍价压降先锋队”统筹；深化成本中心管理，聚焦高炉、转炉等重点工序，优化参数、压降无效能耗物耗，强化全员成本意识，将目标分解至12个成本中心，通过日跟踪、月复盘、绩效挂钩、预警整改，确保降本成效落地。 </w:t>
            </w:r>
          </w:p>
          <w:p w14:paraId="0C1B4D12" w14:textId="7F454FB4" w:rsidR="00A3619A" w:rsidRDefault="00AC3E33" w:rsidP="00C76915">
            <w:pPr>
              <w:pStyle w:val="TableParagraph"/>
              <w:spacing w:line="360" w:lineRule="auto"/>
              <w:ind w:firstLine="4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</w:rPr>
              <w:t>（3）提升价值创造，用好政策红利。全流程跟进政策红利落地，从项目申报到资金到账明确专人负责，以政策落地与项目攻坚增厚利润。同时持续强化价值创造能力，通过政策赋能与业务攻坚的双向发力，为扭亏目标注入持续动力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3.请问公司建立了哪些应收账款风险管理机制？是否有坏账风险？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构建严格的应收账款风险管理体系：凌钢股份始终坚守“款到发货”核心原则，从严限制赊销行为。对于确需开展的赊销业务，建立了多层级、高标准的审批流程-优先选择优质央国企合作，合作对象需经过业务部门专业资质审核，最终提交总经理办公会审议通过后方可执行，从源头把控合作质量与资金回收风险。 公司应收账款规模小、质量优，无坏账风险：截至9月末，公司应收账款账面金额仅0.49亿元，赊销额度控制严格，整体规模处于行业内较低水平，具备“规模小、债权清晰、合作方优质”的显著特点。相较于行业普遍情况，公司应收账款管理成效突出，资金回收安全性高，风险可控，不存在坏账风险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4.请问2025年第三季度公司主要产品，如优特圆钢、中宽热带、螺纹钢等产品的产销情况如何？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答:优特圆钢、中宽热带、建材产量分别为52.6万吨、32.2万吨和40.4万吨，销量分别为53.3万吨、32.2万吨和40.7万吨，产销率均超100%。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5.公司连续三个季度亏损，是否有潜在重大风险？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答:公司目前生产经营情况正常，无潜在的重大风险。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6.目前公司的现金流状况是否健康？债务水平如何，是否存在偿债压力？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公司现金流状况健康向好，2025年9月末，经营活动现金流较上年同期成功“由负转正”，现金获取能力稳定且显著改善。这一成果得益于三大核心举措：一是生产端装备升级释放实效，高炉升级项目顺利落地后，生产与履约保障能力大幅提升，带动预收款规模同比增长，为经营现金流注入稳定增量；二是资金端结构优化降本减支，通过调整融资结构，本期应付票据解付金额较同期大幅缩减，有效减少经营性现金流出，缓解资金支付压力；三是资产端抢抓机遇增效增收，趁市场贴现率低位积极推进应收票据贴现业务，盘活存量资产的同时增加当期经营现金流入。截至9月末，公司负债规模103.59亿元，资产负债率为68.53%；偿债能力充足，无偿债压力，公司资金储备稳固，截至9月末资金存量保持年初规模，可用资金10.52亿元，为偿债与经营周转提供坚实基础，同时拥有可用授信91亿元，完全能够覆盖日常经营及债务偿付需求，资金风险可控，不存在偿债压力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7.请问公司在市值管理方面做了哪些措施？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为切实推动公司提升投资价值，增强投资者回报，根据《上市公司监管指引第10号—市值管理》等规定，结合公司实际情况，制定了《2025年估值提升计划》和《2025年度“提质增效重回报”行动方案》，2025年，公司将采取聚焦主责主业，加力提质增效；落地长效激励机制，扩大激励对象范围将预留531万股股份授予96名激励对象；持续加强投资者关系管理，创建董秘“走出去”，投资者“走进来”的交流模式；树立回报股东意识；积极寻求并购重组机会；2025年再次启动5000万-1亿元回购方案，鼓励大股东增持等措施；提高信息披露质量等措施提升公司投资价值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8.结合当前国内钢铁市场供需情况，请问公司如何展望未来半年钢铁价格及需求趋势，对公司业绩有何影响？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综合市场各方面因素，未来半年钢铁价格及需求趋势分析，价格短期内，钢价震荡下行趋势已基本确立，但随着供给收缩、库存见顶回落及成本支撑增强，11-12月钢价有望逐步趋稳，进入震荡整理阶段。预计后期钢铁需求整体仍将偏弱，房地产行业对钢材需求的颓势难改，难以对需求形成有力支撑。不过，制造业方面，汽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车行业备产周期持续深化等，可能会为钢铁需求贡献一定增量。同时，基建投资在政策推动下，也可能带来部分钢材需求的释放。 对公司业绩的影响：现阶段钢价低位运行且原材料价格高位震荡，将压缩钢铁企业的利润空间。我公司根据自身的生产情况，开发适应未来发展的高附加值产品，提升企业竞争力。</w:t>
            </w:r>
            <w:bookmarkEnd w:id="2"/>
            <w:bookmarkEnd w:id="3"/>
          </w:p>
        </w:tc>
      </w:tr>
      <w:tr w:rsidR="00A3619A" w14:paraId="3A2A56E6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741FFB2" w14:textId="77777777" w:rsidR="00A3619A" w:rsidRDefault="00AC3E33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1030A386" w14:textId="77777777" w:rsidR="00A3619A" w:rsidRDefault="00AC3E3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2369263E" w14:textId="77777777" w:rsidR="00A3619A" w:rsidRDefault="00AC3E33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A3619A" w14:paraId="7DF9C52A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CB8C4F8" w14:textId="77777777" w:rsidR="00A3619A" w:rsidRDefault="00AC3E3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5267500" w14:textId="77777777" w:rsidR="00A3619A" w:rsidRDefault="00A3619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A3619A" w14:paraId="60ACE4E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796633D" w14:textId="77777777" w:rsidR="00A3619A" w:rsidRDefault="00AC3E33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37AC9DA3" w14:textId="77777777" w:rsidR="00A3619A" w:rsidRDefault="00AC3E33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2025年11月07日</w:t>
            </w:r>
          </w:p>
        </w:tc>
      </w:tr>
    </w:tbl>
    <w:p w14:paraId="5FC71E4C" w14:textId="77777777" w:rsidR="00A3619A" w:rsidRDefault="00A3619A">
      <w:pPr>
        <w:rPr>
          <w:rFonts w:ascii="宋体" w:eastAsia="宋体" w:hAnsi="宋体" w:cs="宋体"/>
          <w:sz w:val="28"/>
          <w:szCs w:val="36"/>
        </w:rPr>
      </w:pPr>
    </w:p>
    <w:sectPr w:rsidR="00A3619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FA07A" w14:textId="77777777" w:rsidR="001C5F64" w:rsidRDefault="001C5F64" w:rsidP="00E54CBA">
      <w:r>
        <w:separator/>
      </w:r>
    </w:p>
  </w:endnote>
  <w:endnote w:type="continuationSeparator" w:id="0">
    <w:p w14:paraId="2F74E669" w14:textId="77777777" w:rsidR="001C5F64" w:rsidRDefault="001C5F64" w:rsidP="00E5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008F3" w14:textId="77777777" w:rsidR="001C5F64" w:rsidRDefault="001C5F64" w:rsidP="00E54CBA">
      <w:r>
        <w:separator/>
      </w:r>
    </w:p>
  </w:footnote>
  <w:footnote w:type="continuationSeparator" w:id="0">
    <w:p w14:paraId="3B50117C" w14:textId="77777777" w:rsidR="001C5F64" w:rsidRDefault="001C5F64" w:rsidP="00E5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C326A"/>
    <w:rsid w:val="000D12CF"/>
    <w:rsid w:val="000D2D88"/>
    <w:rsid w:val="000E4B20"/>
    <w:rsid w:val="0011418F"/>
    <w:rsid w:val="00172C24"/>
    <w:rsid w:val="001C5F6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3619A"/>
    <w:rsid w:val="00A527AA"/>
    <w:rsid w:val="00A5684D"/>
    <w:rsid w:val="00A75C61"/>
    <w:rsid w:val="00A9601B"/>
    <w:rsid w:val="00AC3E33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76915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54CBA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6892EEA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B0BC-DE31-45C8-AF2C-72B3AAE3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430</Words>
  <Characters>2455</Characters>
  <Application>Microsoft Office Word</Application>
  <DocSecurity>0</DocSecurity>
  <Lines>20</Lines>
  <Paragraphs>5</Paragraphs>
  <ScaleCrop>false</ScaleCrop>
  <Company>微软中国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Administrator</cp:lastModifiedBy>
  <cp:revision>9</cp:revision>
  <dcterms:created xsi:type="dcterms:W3CDTF">2022-04-12T06:10:00Z</dcterms:created>
  <dcterms:modified xsi:type="dcterms:W3CDTF">2025-11-07T08:48:00Z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eyJoZGlkIjoiNzI1MzljODBiNDliMzEyMzFlZWNlN2EzYjU0N2YzMWEiLCJ1c2VySWQiOiI2NzM2NTg2NjcifQ==</vt:lpwstr>
  </property>
</Properties>
</file>