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0521A">
      <w:pPr>
        <w:spacing w:before="156" w:beforeLines="50" w:after="156" w:afterLines="50" w:line="400" w:lineRule="exact"/>
        <w:rPr>
          <w:rFonts w:asciiTheme="minorEastAsia" w:hAnsiTheme="minorEastAsia" w:eastAsiaTheme="minorEastAsia"/>
          <w:bCs/>
          <w:iCs/>
          <w:color w:val="000000"/>
          <w:sz w:val="28"/>
          <w:szCs w:val="28"/>
        </w:rPr>
      </w:pPr>
      <w:r>
        <w:rPr>
          <w:rFonts w:asciiTheme="minorEastAsia" w:hAnsiTheme="minorEastAsia" w:eastAsiaTheme="minorEastAsia"/>
          <w:bCs/>
          <w:iCs/>
          <w:color w:val="000000"/>
          <w:sz w:val="28"/>
          <w:szCs w:val="28"/>
        </w:rPr>
        <w:t xml:space="preserve">证券代码： </w:t>
      </w:r>
      <w:r>
        <w:rPr>
          <w:rFonts w:asciiTheme="minorEastAsia" w:hAnsiTheme="minorEastAsia" w:eastAsiaTheme="minorEastAsia"/>
          <w:color w:val="000000"/>
          <w:sz w:val="28"/>
          <w:szCs w:val="28"/>
        </w:rPr>
        <w:t xml:space="preserve">600018                         </w:t>
      </w:r>
      <w:r>
        <w:rPr>
          <w:rFonts w:asciiTheme="minorEastAsia" w:hAnsiTheme="minorEastAsia" w:eastAsiaTheme="minorEastAsia"/>
          <w:bCs/>
          <w:iCs/>
          <w:color w:val="000000"/>
          <w:sz w:val="28"/>
          <w:szCs w:val="28"/>
        </w:rPr>
        <w:t>证券简称：</w:t>
      </w:r>
      <w:r>
        <w:rPr>
          <w:rFonts w:asciiTheme="minorEastAsia" w:hAnsiTheme="minorEastAsia" w:eastAsiaTheme="minorEastAsia"/>
          <w:color w:val="000000"/>
          <w:sz w:val="28"/>
          <w:szCs w:val="28"/>
        </w:rPr>
        <w:t>上港集团</w:t>
      </w:r>
    </w:p>
    <w:p w14:paraId="1B86FE2D">
      <w:pPr>
        <w:snapToGrid w:val="0"/>
        <w:spacing w:line="300" w:lineRule="auto"/>
        <w:jc w:val="center"/>
        <w:rPr>
          <w:rFonts w:asciiTheme="minorEastAsia" w:hAnsiTheme="minorEastAsia" w:eastAsiaTheme="minorEastAsia"/>
          <w:b/>
          <w:bCs/>
          <w:iCs/>
          <w:color w:val="000000"/>
          <w:sz w:val="28"/>
          <w:szCs w:val="28"/>
        </w:rPr>
      </w:pPr>
      <w:r>
        <w:rPr>
          <w:rFonts w:asciiTheme="minorEastAsia" w:hAnsiTheme="minorEastAsia" w:eastAsiaTheme="minorEastAsia"/>
          <w:b/>
          <w:bCs/>
          <w:iCs/>
          <w:color w:val="000000"/>
          <w:sz w:val="28"/>
          <w:szCs w:val="28"/>
        </w:rPr>
        <w:t>上海国际港务(集团)股份有限公司</w:t>
      </w:r>
    </w:p>
    <w:p w14:paraId="2C80AA16">
      <w:pPr>
        <w:snapToGrid w:val="0"/>
        <w:spacing w:line="300" w:lineRule="auto"/>
        <w:jc w:val="center"/>
        <w:rPr>
          <w:rFonts w:asciiTheme="minorEastAsia" w:hAnsiTheme="minorEastAsia" w:eastAsiaTheme="minorEastAsia"/>
          <w:b/>
          <w:bCs/>
          <w:iCs/>
          <w:color w:val="000000"/>
          <w:sz w:val="28"/>
          <w:szCs w:val="28"/>
        </w:rPr>
      </w:pPr>
      <w:r>
        <w:rPr>
          <w:rFonts w:hint="eastAsia" w:asciiTheme="minorEastAsia" w:hAnsiTheme="minorEastAsia" w:eastAsiaTheme="minorEastAsia"/>
          <w:b/>
          <w:bCs/>
          <w:iCs/>
          <w:color w:val="000000"/>
          <w:sz w:val="28"/>
          <w:szCs w:val="28"/>
        </w:rPr>
        <w:t>投资者关系活动记录表</w:t>
      </w:r>
    </w:p>
    <w:p w14:paraId="149C21E8">
      <w:pPr>
        <w:snapToGrid w:val="0"/>
        <w:spacing w:line="300" w:lineRule="auto"/>
        <w:jc w:val="center"/>
        <w:rPr>
          <w:rFonts w:asciiTheme="minorEastAsia" w:hAnsiTheme="minorEastAsia" w:eastAsiaTheme="minorEastAsia"/>
          <w:b/>
          <w:bCs/>
          <w:iCs/>
          <w:color w:val="000000"/>
          <w:szCs w:val="21"/>
        </w:rPr>
      </w:pP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7254"/>
      </w:tblGrid>
      <w:tr w14:paraId="2695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6436E724">
            <w:pPr>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投资者关系</w:t>
            </w:r>
          </w:p>
          <w:p w14:paraId="5ABB4B39">
            <w:pPr>
              <w:snapToGrid w:val="0"/>
              <w:spacing w:line="300" w:lineRule="auto"/>
              <w:jc w:val="left"/>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活动类别</w:t>
            </w:r>
          </w:p>
        </w:tc>
        <w:tc>
          <w:tcPr>
            <w:tcW w:w="7254" w:type="dxa"/>
            <w:tcBorders>
              <w:top w:val="single" w:color="auto" w:sz="4" w:space="0"/>
              <w:left w:val="single" w:color="auto" w:sz="4" w:space="0"/>
              <w:bottom w:val="single" w:color="auto" w:sz="4" w:space="0"/>
              <w:right w:val="single" w:color="auto" w:sz="4" w:space="0"/>
            </w:tcBorders>
          </w:tcPr>
          <w:p w14:paraId="1E2C308F">
            <w:pPr>
              <w:snapToGrid w:val="0"/>
              <w:spacing w:line="300" w:lineRule="auto"/>
              <w:jc w:val="left"/>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特定对象调研       </w:t>
            </w:r>
            <w:r>
              <w:rPr>
                <w:rFonts w:hint="eastAsia" w:asciiTheme="minorEastAsia" w:hAnsiTheme="minorEastAsia" w:eastAsiaTheme="minorEastAsia"/>
                <w:kern w:val="0"/>
                <w:sz w:val="24"/>
              </w:rPr>
              <w:t xml:space="preserve"> </w:t>
            </w: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分析师会议</w:t>
            </w:r>
          </w:p>
          <w:p w14:paraId="7DC0E48E">
            <w:pPr>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媒体采访            </w:t>
            </w: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业绩说明会</w:t>
            </w:r>
          </w:p>
          <w:p w14:paraId="046812FF">
            <w:pPr>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新闻发布会          </w:t>
            </w:r>
            <w:r>
              <w:rPr>
                <w:rFonts w:hint="eastAsia" w:asciiTheme="minorEastAsia" w:hAnsiTheme="minorEastAsia" w:eastAsiaTheme="minorEastAsia"/>
                <w:bCs/>
                <w:iCs/>
                <w:color w:val="000000"/>
                <w:kern w:val="0"/>
                <w:sz w:val="24"/>
                <w:lang w:eastAsia="zh-CN"/>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路演活动</w:t>
            </w:r>
          </w:p>
          <w:p w14:paraId="1C9ABF3B">
            <w:pPr>
              <w:tabs>
                <w:tab w:val="left" w:pos="3045"/>
                <w:tab w:val="center" w:pos="3199"/>
              </w:tabs>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现场参观</w:t>
            </w:r>
            <w:r>
              <w:rPr>
                <w:rFonts w:asciiTheme="minorEastAsia" w:hAnsiTheme="minorEastAsia" w:eastAsiaTheme="minorEastAsia"/>
                <w:bCs/>
                <w:iCs/>
                <w:color w:val="000000"/>
                <w:kern w:val="0"/>
                <w:sz w:val="24"/>
              </w:rPr>
              <w:tab/>
            </w:r>
          </w:p>
          <w:p w14:paraId="2A1DACEB">
            <w:pPr>
              <w:tabs>
                <w:tab w:val="center" w:pos="3199"/>
              </w:tabs>
              <w:snapToGrid w:val="0"/>
              <w:spacing w:line="300" w:lineRule="auto"/>
              <w:jc w:val="left"/>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其他（</w:t>
            </w:r>
            <w:r>
              <w:rPr>
                <w:rFonts w:asciiTheme="minorEastAsia" w:hAnsiTheme="minorEastAsia" w:eastAsiaTheme="minorEastAsia"/>
                <w:kern w:val="0"/>
                <w:sz w:val="24"/>
                <w:u w:val="single"/>
              </w:rPr>
              <w:t>请文字说明其他活动内容）</w:t>
            </w:r>
          </w:p>
        </w:tc>
      </w:tr>
      <w:tr w14:paraId="04A3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4028CCBA">
            <w:pPr>
              <w:snapToGrid w:val="0"/>
              <w:spacing w:line="300" w:lineRule="auto"/>
              <w:rPr>
                <w:rFonts w:asciiTheme="minorEastAsia" w:hAnsiTheme="minorEastAsia" w:eastAsiaTheme="minorEastAsia"/>
                <w:bCs/>
                <w:iCs/>
                <w:color w:val="000000"/>
                <w:kern w:val="0"/>
                <w:sz w:val="24"/>
              </w:rPr>
            </w:pPr>
            <w:r>
              <w:rPr>
                <w:rFonts w:hint="eastAsia" w:asciiTheme="minorEastAsia" w:hAnsiTheme="minorEastAsia" w:eastAsiaTheme="minorEastAsia"/>
                <w:bCs/>
                <w:iCs/>
                <w:color w:val="000000"/>
                <w:kern w:val="0"/>
                <w:sz w:val="24"/>
              </w:rPr>
              <w:t>参与人员</w:t>
            </w:r>
          </w:p>
        </w:tc>
        <w:tc>
          <w:tcPr>
            <w:tcW w:w="7254" w:type="dxa"/>
            <w:tcBorders>
              <w:top w:val="single" w:color="auto" w:sz="4" w:space="0"/>
              <w:left w:val="single" w:color="auto" w:sz="4" w:space="0"/>
              <w:bottom w:val="single" w:color="auto" w:sz="4" w:space="0"/>
              <w:right w:val="single" w:color="auto" w:sz="4" w:space="0"/>
            </w:tcBorders>
            <w:vAlign w:val="center"/>
          </w:tcPr>
          <w:p w14:paraId="4DC0EDA2">
            <w:pPr>
              <w:snapToGrid w:val="0"/>
              <w:spacing w:line="300" w:lineRule="auto"/>
              <w:rPr>
                <w:rFonts w:asciiTheme="minorEastAsia" w:hAnsiTheme="minorEastAsia" w:eastAsiaTheme="minorEastAsia"/>
                <w:bCs/>
                <w:iCs/>
                <w:color w:val="000000"/>
                <w:sz w:val="24"/>
                <w:lang w:val="en-GB"/>
              </w:rPr>
            </w:pPr>
            <w:r>
              <w:rPr>
                <w:rFonts w:hint="eastAsia" w:asciiTheme="minorEastAsia" w:hAnsiTheme="minorEastAsia" w:eastAsiaTheme="minorEastAsia"/>
                <w:bCs/>
                <w:iCs/>
                <w:color w:val="000000"/>
                <w:sz w:val="24"/>
              </w:rPr>
              <w:t>参与公司202</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年第三季度业绩说明会的投资者</w:t>
            </w:r>
          </w:p>
        </w:tc>
      </w:tr>
      <w:tr w14:paraId="7AF0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3929DBBA">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会议时间</w:t>
            </w:r>
          </w:p>
        </w:tc>
        <w:tc>
          <w:tcPr>
            <w:tcW w:w="7254" w:type="dxa"/>
            <w:tcBorders>
              <w:top w:val="single" w:color="auto" w:sz="4" w:space="0"/>
              <w:left w:val="single" w:color="auto" w:sz="4" w:space="0"/>
              <w:bottom w:val="single" w:color="auto" w:sz="4" w:space="0"/>
              <w:right w:val="single" w:color="auto" w:sz="4" w:space="0"/>
            </w:tcBorders>
            <w:vAlign w:val="center"/>
          </w:tcPr>
          <w:p w14:paraId="328667F6">
            <w:pPr>
              <w:snapToGrid w:val="0"/>
              <w:spacing w:line="300" w:lineRule="auto"/>
              <w:rPr>
                <w:rFonts w:asciiTheme="minorEastAsia" w:hAnsiTheme="minorEastAsia" w:eastAsiaTheme="minorEastAsia"/>
                <w:bCs/>
                <w:iCs/>
                <w:color w:val="000000"/>
                <w:sz w:val="24"/>
              </w:rPr>
            </w:pPr>
            <w:r>
              <w:rPr>
                <w:rFonts w:asciiTheme="minorEastAsia" w:hAnsiTheme="minorEastAsia" w:eastAsiaTheme="minorEastAsia"/>
                <w:bCs/>
                <w:iCs/>
                <w:color w:val="000000"/>
                <w:sz w:val="24"/>
              </w:rPr>
              <w:t>202</w:t>
            </w:r>
            <w:r>
              <w:rPr>
                <w:rFonts w:hint="eastAsia" w:asciiTheme="minorEastAsia" w:hAnsiTheme="minorEastAsia" w:eastAsiaTheme="minorEastAsia"/>
                <w:bCs/>
                <w:iCs/>
                <w:color w:val="000000"/>
                <w:sz w:val="24"/>
                <w:lang w:val="en-US" w:eastAsia="zh-CN"/>
              </w:rPr>
              <w:t>5</w:t>
            </w:r>
            <w:r>
              <w:rPr>
                <w:rFonts w:asciiTheme="minorEastAsia" w:hAnsiTheme="minorEastAsia" w:eastAsiaTheme="minorEastAsia"/>
                <w:bCs/>
                <w:iCs/>
                <w:color w:val="000000"/>
                <w:sz w:val="24"/>
              </w:rPr>
              <w:t>年</w:t>
            </w:r>
            <w:r>
              <w:rPr>
                <w:rFonts w:hint="eastAsia" w:asciiTheme="minorEastAsia" w:hAnsiTheme="minorEastAsia" w:eastAsiaTheme="minorEastAsia"/>
                <w:bCs/>
                <w:iCs/>
                <w:color w:val="000000"/>
                <w:sz w:val="24"/>
              </w:rPr>
              <w:t>11</w:t>
            </w:r>
            <w:r>
              <w:rPr>
                <w:rFonts w:asciiTheme="minorEastAsia" w:hAnsiTheme="minorEastAsia" w:eastAsiaTheme="minorEastAsia"/>
                <w:bCs/>
                <w:iCs/>
                <w:color w:val="000000"/>
                <w:sz w:val="24"/>
              </w:rPr>
              <w:t>月</w:t>
            </w:r>
            <w:r>
              <w:rPr>
                <w:rFonts w:hint="eastAsia" w:asciiTheme="minorEastAsia" w:hAnsiTheme="minorEastAsia" w:eastAsiaTheme="minorEastAsia"/>
                <w:bCs/>
                <w:iCs/>
                <w:color w:val="000000"/>
                <w:sz w:val="24"/>
                <w:lang w:val="en-US" w:eastAsia="zh-CN"/>
              </w:rPr>
              <w:t>7</w:t>
            </w:r>
            <w:r>
              <w:rPr>
                <w:rFonts w:asciiTheme="minorEastAsia" w:hAnsiTheme="minorEastAsia" w:eastAsiaTheme="minorEastAsia"/>
                <w:bCs/>
                <w:iCs/>
                <w:color w:val="000000"/>
                <w:sz w:val="24"/>
              </w:rPr>
              <w:t>日</w:t>
            </w:r>
            <w:r>
              <w:rPr>
                <w:rFonts w:hint="eastAsia" w:asciiTheme="minorEastAsia" w:hAnsiTheme="minorEastAsia" w:eastAsiaTheme="minorEastAsia"/>
                <w:bCs/>
                <w:iCs/>
                <w:color w:val="000000"/>
                <w:sz w:val="24"/>
              </w:rPr>
              <w:t>1</w:t>
            </w:r>
            <w:r>
              <w:rPr>
                <w:rFonts w:hint="eastAsia" w:asciiTheme="minorEastAsia" w:hAnsiTheme="minorEastAsia" w:eastAsiaTheme="minorEastAsia"/>
                <w:bCs/>
                <w:iCs/>
                <w:color w:val="000000"/>
                <w:sz w:val="24"/>
                <w:lang w:val="en-US" w:eastAsia="zh-CN"/>
              </w:rPr>
              <w:t>4</w:t>
            </w:r>
            <w:r>
              <w:rPr>
                <w:rFonts w:asciiTheme="minorEastAsia" w:hAnsiTheme="minorEastAsia" w:eastAsiaTheme="minorEastAsia"/>
                <w:bCs/>
                <w:iCs/>
                <w:color w:val="000000"/>
                <w:sz w:val="24"/>
              </w:rPr>
              <w:t>:00</w:t>
            </w:r>
            <w:r>
              <w:rPr>
                <w:rFonts w:hint="eastAsia" w:asciiTheme="minorEastAsia" w:hAnsiTheme="minorEastAsia" w:eastAsiaTheme="minorEastAsia"/>
                <w:bCs/>
                <w:iCs/>
                <w:color w:val="000000"/>
                <w:sz w:val="24"/>
              </w:rPr>
              <w:t>-1</w:t>
            </w:r>
            <w:r>
              <w:rPr>
                <w:rFonts w:hint="eastAsia" w:asciiTheme="minorEastAsia" w:hAnsiTheme="minorEastAsia" w:eastAsiaTheme="minorEastAsia"/>
                <w:bCs/>
                <w:iCs/>
                <w:color w:val="000000"/>
                <w:sz w:val="24"/>
                <w:lang w:val="en-US" w:eastAsia="zh-CN"/>
              </w:rPr>
              <w:t>5</w:t>
            </w:r>
            <w:r>
              <w:rPr>
                <w:rFonts w:asciiTheme="minorEastAsia" w:hAnsiTheme="minorEastAsia" w:eastAsiaTheme="minorEastAsia"/>
                <w:bCs/>
                <w:iCs/>
                <w:color w:val="000000"/>
                <w:sz w:val="24"/>
              </w:rPr>
              <w:t>:</w:t>
            </w:r>
            <w:r>
              <w:rPr>
                <w:rFonts w:hint="eastAsia" w:asciiTheme="minorEastAsia" w:hAnsiTheme="minorEastAsia" w:eastAsiaTheme="minorEastAsia"/>
                <w:bCs/>
                <w:iCs/>
                <w:color w:val="000000"/>
                <w:sz w:val="24"/>
              </w:rPr>
              <w:t>00</w:t>
            </w:r>
          </w:p>
        </w:tc>
      </w:tr>
      <w:tr w14:paraId="3070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087DBE8B">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会议地点</w:t>
            </w:r>
          </w:p>
        </w:tc>
        <w:tc>
          <w:tcPr>
            <w:tcW w:w="7254" w:type="dxa"/>
            <w:tcBorders>
              <w:top w:val="single" w:color="auto" w:sz="4" w:space="0"/>
              <w:left w:val="single" w:color="auto" w:sz="4" w:space="0"/>
              <w:bottom w:val="single" w:color="auto" w:sz="4" w:space="0"/>
              <w:right w:val="single" w:color="auto" w:sz="4" w:space="0"/>
            </w:tcBorders>
            <w:vAlign w:val="center"/>
          </w:tcPr>
          <w:p w14:paraId="3FB96D27">
            <w:pPr>
              <w:snapToGrid w:val="0"/>
              <w:spacing w:line="300" w:lineRule="auto"/>
              <w:rPr>
                <w:rFonts w:asciiTheme="minorEastAsia" w:hAnsiTheme="minorEastAsia" w:eastAsiaTheme="minorEastAsia"/>
                <w:bCs/>
                <w:iCs/>
                <w:color w:val="000000"/>
                <w:sz w:val="24"/>
              </w:rPr>
            </w:pPr>
            <w:r>
              <w:rPr>
                <w:rFonts w:hint="eastAsia" w:asciiTheme="minorEastAsia" w:hAnsiTheme="minorEastAsia" w:eastAsiaTheme="minorEastAsia"/>
                <w:sz w:val="24"/>
              </w:rPr>
              <w:t>上海证券交易所上证路演中心（</w:t>
            </w:r>
            <w:r>
              <w:rPr>
                <w:rFonts w:asciiTheme="minorEastAsia" w:hAnsiTheme="minorEastAsia" w:eastAsiaTheme="minorEastAsia"/>
                <w:sz w:val="24"/>
              </w:rPr>
              <w:t>https://roadshow.sseinfo.com/</w:t>
            </w:r>
            <w:r>
              <w:rPr>
                <w:rFonts w:hint="eastAsia" w:asciiTheme="minorEastAsia" w:hAnsiTheme="minorEastAsia" w:eastAsiaTheme="minorEastAsia"/>
                <w:sz w:val="24"/>
              </w:rPr>
              <w:t>）</w:t>
            </w:r>
          </w:p>
        </w:tc>
      </w:tr>
      <w:tr w14:paraId="6E9A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026CD0AD">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会议形式</w:t>
            </w:r>
          </w:p>
        </w:tc>
        <w:tc>
          <w:tcPr>
            <w:tcW w:w="7254" w:type="dxa"/>
            <w:tcBorders>
              <w:top w:val="single" w:color="auto" w:sz="4" w:space="0"/>
              <w:left w:val="single" w:color="auto" w:sz="4" w:space="0"/>
              <w:bottom w:val="single" w:color="auto" w:sz="4" w:space="0"/>
              <w:right w:val="single" w:color="auto" w:sz="4" w:space="0"/>
            </w:tcBorders>
            <w:vAlign w:val="center"/>
          </w:tcPr>
          <w:p w14:paraId="406D6D2A">
            <w:pPr>
              <w:snapToGrid w:val="0"/>
              <w:spacing w:line="300" w:lineRule="auto"/>
              <w:rPr>
                <w:rFonts w:asciiTheme="minorEastAsia" w:hAnsiTheme="minorEastAsia" w:eastAsiaTheme="minorEastAsia"/>
                <w:sz w:val="24"/>
              </w:rPr>
            </w:pPr>
            <w:r>
              <w:rPr>
                <w:rFonts w:hint="eastAsia" w:asciiTheme="minorEastAsia" w:hAnsiTheme="minorEastAsia" w:eastAsiaTheme="minorEastAsia"/>
                <w:sz w:val="24"/>
              </w:rPr>
              <w:t>网络</w:t>
            </w:r>
            <w:r>
              <w:rPr>
                <w:rFonts w:hint="eastAsia" w:asciiTheme="minorEastAsia" w:hAnsiTheme="minorEastAsia" w:eastAsiaTheme="minorEastAsia"/>
                <w:sz w:val="24"/>
                <w:lang w:val="en-US" w:eastAsia="zh-CN"/>
              </w:rPr>
              <w:t>文字</w:t>
            </w:r>
            <w:r>
              <w:rPr>
                <w:rFonts w:hint="eastAsia" w:asciiTheme="minorEastAsia" w:hAnsiTheme="minorEastAsia" w:eastAsiaTheme="minorEastAsia"/>
                <w:sz w:val="24"/>
              </w:rPr>
              <w:t>互动</w:t>
            </w:r>
          </w:p>
        </w:tc>
      </w:tr>
      <w:tr w14:paraId="2D00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31A0FBD4">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公司接待</w:t>
            </w:r>
          </w:p>
          <w:p w14:paraId="48710D04">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人员姓名</w:t>
            </w:r>
          </w:p>
        </w:tc>
        <w:tc>
          <w:tcPr>
            <w:tcW w:w="7254" w:type="dxa"/>
            <w:tcBorders>
              <w:top w:val="single" w:color="auto" w:sz="4" w:space="0"/>
              <w:left w:val="single" w:color="auto" w:sz="4" w:space="0"/>
              <w:bottom w:val="single" w:color="auto" w:sz="4" w:space="0"/>
              <w:right w:val="single" w:color="auto" w:sz="4" w:space="0"/>
            </w:tcBorders>
            <w:vAlign w:val="center"/>
          </w:tcPr>
          <w:p w14:paraId="7D3AE9D5">
            <w:pPr>
              <w:snapToGrid w:val="0"/>
              <w:spacing w:line="300" w:lineRule="auto"/>
              <w:rPr>
                <w:rFonts w:asciiTheme="minorEastAsia" w:hAnsiTheme="minorEastAsia" w:eastAsiaTheme="minorEastAsia"/>
                <w:bCs/>
                <w:sz w:val="24"/>
              </w:rPr>
            </w:pPr>
            <w:r>
              <w:rPr>
                <w:rFonts w:hint="eastAsia" w:asciiTheme="minorEastAsia" w:hAnsiTheme="minorEastAsia" w:eastAsiaTheme="minorEastAsia"/>
                <w:bCs/>
                <w:sz w:val="24"/>
                <w:lang w:val="en-US" w:eastAsia="zh-CN"/>
              </w:rPr>
              <w:t>董事、总裁</w:t>
            </w:r>
            <w:r>
              <w:rPr>
                <w:rFonts w:hint="eastAsia" w:ascii="宋体" w:hAnsi="宋体" w:cs="宋体"/>
                <w:sz w:val="24"/>
                <w:szCs w:val="24"/>
              </w:rPr>
              <w:t>（代行董事长职责）</w:t>
            </w:r>
            <w:r>
              <w:rPr>
                <w:rFonts w:hint="eastAsia" w:asciiTheme="minorEastAsia" w:hAnsiTheme="minorEastAsia" w:eastAsiaTheme="minorEastAsia"/>
                <w:bCs/>
                <w:sz w:val="24"/>
                <w:lang w:val="en-US" w:eastAsia="zh-CN"/>
              </w:rPr>
              <w:t>宋晓东</w:t>
            </w:r>
            <w:r>
              <w:rPr>
                <w:rFonts w:hint="eastAsia" w:asciiTheme="minorEastAsia" w:hAnsiTheme="minorEastAsia" w:eastAsiaTheme="minorEastAsia"/>
                <w:bCs/>
                <w:sz w:val="24"/>
              </w:rPr>
              <w:t>先生，独立董事张建卫先生，</w:t>
            </w:r>
            <w:r>
              <w:rPr>
                <w:rFonts w:hint="eastAsia" w:asciiTheme="minorEastAsia" w:hAnsiTheme="minorEastAsia" w:eastAsiaTheme="minorEastAsia"/>
                <w:bCs/>
                <w:sz w:val="24"/>
                <w:lang w:val="en-US" w:eastAsia="zh-CN"/>
              </w:rPr>
              <w:t>独立董事邵瑞庆先生，</w:t>
            </w:r>
            <w:r>
              <w:rPr>
                <w:rFonts w:hint="eastAsia" w:asciiTheme="minorEastAsia" w:hAnsiTheme="minorEastAsia" w:eastAsiaTheme="minorEastAsia"/>
                <w:bCs/>
                <w:sz w:val="24"/>
              </w:rPr>
              <w:t>副总裁</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lang w:val="en-US" w:eastAsia="zh-CN"/>
              </w:rPr>
              <w:t>代行</w:t>
            </w:r>
            <w:r>
              <w:rPr>
                <w:rFonts w:hint="eastAsia" w:asciiTheme="minorEastAsia" w:hAnsiTheme="minorEastAsia" w:eastAsiaTheme="minorEastAsia"/>
                <w:bCs/>
                <w:sz w:val="24"/>
              </w:rPr>
              <w:t>董事会秘书</w:t>
            </w:r>
            <w:r>
              <w:rPr>
                <w:rFonts w:hint="eastAsia" w:asciiTheme="minorEastAsia" w:hAnsiTheme="minorEastAsia" w:eastAsiaTheme="minorEastAsia"/>
                <w:bCs/>
                <w:sz w:val="24"/>
                <w:lang w:val="en-US" w:eastAsia="zh-CN"/>
              </w:rPr>
              <w:t>职责</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lang w:val="en-US" w:eastAsia="zh-CN"/>
              </w:rPr>
              <w:t>杨智勇</w:t>
            </w:r>
            <w:r>
              <w:rPr>
                <w:rFonts w:hint="eastAsia" w:asciiTheme="minorEastAsia" w:hAnsiTheme="minorEastAsia" w:eastAsiaTheme="minorEastAsia"/>
                <w:bCs/>
                <w:sz w:val="24"/>
              </w:rPr>
              <w:t>先生，资产财务部总经理</w:t>
            </w:r>
            <w:r>
              <w:rPr>
                <w:rFonts w:hint="eastAsia" w:asciiTheme="minorEastAsia" w:hAnsiTheme="minorEastAsia" w:eastAsiaTheme="minorEastAsia"/>
                <w:bCs/>
                <w:sz w:val="24"/>
                <w:lang w:val="en-US" w:eastAsia="zh-CN"/>
              </w:rPr>
              <w:t>姜丽丽女士</w:t>
            </w:r>
            <w:bookmarkStart w:id="0" w:name="_GoBack"/>
            <w:bookmarkEnd w:id="0"/>
          </w:p>
        </w:tc>
      </w:tr>
      <w:tr w14:paraId="1C74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646626E1">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投资者关系活动主要内容介绍</w:t>
            </w:r>
          </w:p>
          <w:p w14:paraId="0D835215">
            <w:pPr>
              <w:snapToGrid w:val="0"/>
              <w:spacing w:line="300" w:lineRule="auto"/>
              <w:rPr>
                <w:rFonts w:asciiTheme="minorEastAsia" w:hAnsiTheme="minorEastAsia" w:eastAsiaTheme="minorEastAsia"/>
                <w:bCs/>
                <w:iCs/>
                <w:color w:val="000000"/>
                <w:sz w:val="24"/>
              </w:rPr>
            </w:pPr>
          </w:p>
        </w:tc>
        <w:tc>
          <w:tcPr>
            <w:tcW w:w="7254" w:type="dxa"/>
            <w:tcBorders>
              <w:top w:val="single" w:color="auto" w:sz="4" w:space="0"/>
              <w:left w:val="single" w:color="auto" w:sz="4" w:space="0"/>
              <w:bottom w:val="single" w:color="auto" w:sz="4" w:space="0"/>
              <w:right w:val="single" w:color="auto" w:sz="4" w:space="0"/>
            </w:tcBorders>
            <w:vAlign w:val="center"/>
          </w:tcPr>
          <w:p w14:paraId="4B1202F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投资者提出的问题及公司回复情况：</w:t>
            </w:r>
          </w:p>
          <w:p w14:paraId="56266006">
            <w:pPr>
              <w:spacing w:line="360" w:lineRule="auto"/>
              <w:ind w:firstLine="480" w:firstLineChars="200"/>
            </w:pPr>
            <w:r>
              <w:rPr>
                <w:rFonts w:ascii="宋体"/>
                <w:sz w:val="24"/>
              </w:rPr>
              <w:t>1、财报显示存货周转率2.60次，同比提升42.71%，但总资产周转率0.14次，行业排名较低。请问公司如何进一步提升资产使用效率？特别是在港口资产重、投资周期长的背景下，是否有轻资产运营或资产证券化计划？这对ROE提升有何影响？</w:t>
            </w:r>
          </w:p>
          <w:p w14:paraId="13398265">
            <w:pPr>
              <w:spacing w:line="360" w:lineRule="auto"/>
              <w:ind w:firstLine="480" w:firstLineChars="200"/>
              <w:rPr>
                <w:rFonts w:ascii="宋体"/>
                <w:sz w:val="24"/>
              </w:rPr>
            </w:pPr>
            <w:r>
              <w:rPr>
                <w:rFonts w:ascii="宋体"/>
                <w:sz w:val="24"/>
              </w:rPr>
              <w:t>答:尊敬的投资者，您好。公司已整体上市。公司将持续聚焦自身发展，持续巩固港口主业领先地位，不断增强竞争优势，不断提升盈利能力和盈利水平。感谢您对公司的关注。</w:t>
            </w:r>
          </w:p>
          <w:p w14:paraId="21D3882A">
            <w:pPr>
              <w:spacing w:line="360" w:lineRule="auto"/>
              <w:ind w:firstLine="480" w:firstLineChars="200"/>
            </w:pPr>
            <w:r>
              <w:rPr>
                <w:rFonts w:ascii="宋体"/>
                <w:sz w:val="24"/>
              </w:rPr>
              <w:t>2、副总裁您好！股东户数Q3末增至14.95万户，但北向资金持股量减少。请问公司如何看待股东结构变化？是否有针对性措施增强外资和机构投资者信心？此外，公司近年分红率稳定，未来是否会考虑提高分红比例或实施股份回购，以回应市场对股东回报的期待？</w:t>
            </w:r>
          </w:p>
          <w:p w14:paraId="03324795">
            <w:pPr>
              <w:spacing w:line="360" w:lineRule="auto"/>
              <w:ind w:firstLine="480" w:firstLineChars="200"/>
              <w:rPr>
                <w:rFonts w:ascii="宋体"/>
                <w:sz w:val="24"/>
              </w:rPr>
            </w:pPr>
            <w:r>
              <w:rPr>
                <w:rFonts w:ascii="宋体"/>
                <w:sz w:val="24"/>
              </w:rPr>
              <w:t>答:尊敬的投资者，您好。公司高度重视投资者关系维护，设有专人负责投资者接待工作，解答投资者提出的问题。公司高度重视投资者回报，将严格按照《公司章程》的规定，继续实施积极的股利政策，保持合理、相对稳定的分红派息比例。同时，致力于进一步提高自身竞争力，进一步提升盈利能力和盈利水平，努力实现对投资者长期持续稳定的回报。感谢您对公司的关注。</w:t>
            </w:r>
          </w:p>
          <w:p w14:paraId="60A0AFF8">
            <w:pPr>
              <w:spacing w:line="360" w:lineRule="auto"/>
              <w:ind w:firstLine="480" w:firstLineChars="200"/>
            </w:pPr>
            <w:r>
              <w:rPr>
                <w:rFonts w:ascii="宋体"/>
                <w:sz w:val="24"/>
              </w:rPr>
              <w:t>3、总经理您好！公司Q3经营活动现金流净额98.5亿元，同比大增32.05%，而投资活动现金流仍为净流出。请问现金流改善的主要原因是什么？未来是否计划加大投资（如海外港口并购或技术升级），如何平衡投资节奏与现金流稳定性？此外，毛利率38.28%高于行业平均，请问核心驱动因素是什么？能否持续维持高毛利水平？</w:t>
            </w:r>
          </w:p>
          <w:p w14:paraId="6E9A7244">
            <w:pPr>
              <w:spacing w:line="360" w:lineRule="auto"/>
              <w:ind w:firstLine="480" w:firstLineChars="200"/>
              <w:rPr>
                <w:rFonts w:ascii="宋体"/>
                <w:sz w:val="24"/>
              </w:rPr>
            </w:pPr>
            <w:r>
              <w:rPr>
                <w:rFonts w:ascii="宋体"/>
                <w:sz w:val="24"/>
              </w:rPr>
              <w:t>答:尊敬的投资者，您好。经营现金流同比增长主要原因是本期销售商品提供劳务收到的现金同比增加以及支付税费同比减少。公司对于港口建设等重大项目资金需求，拥有固定资产项目贷款、发行债券等多种融资方式。公司会依据市场情况和融资条件灵活选择，确保以最优成本获取资金，从而进一步提升资本使用效率，为股东创造更大价值。感谢您对公司的关注。</w:t>
            </w:r>
          </w:p>
          <w:p w14:paraId="0220B969">
            <w:pPr>
              <w:spacing w:line="360" w:lineRule="auto"/>
              <w:ind w:firstLine="480" w:firstLineChars="200"/>
            </w:pPr>
            <w:r>
              <w:rPr>
                <w:rFonts w:ascii="宋体"/>
                <w:sz w:val="24"/>
              </w:rPr>
              <w:t>4、在港口行业集中度提升的背景下，上港集团作为行业龙头，如何看待潜在的反垄断监管风险？公司有哪些合规措施应对可能的政策变化？同时，作为青年投资者，我们关注管理层对‘共同富裕’和员工激励的考量，是否有相关薪酬改革或股权激励安排？</w:t>
            </w:r>
          </w:p>
          <w:p w14:paraId="22801558">
            <w:pPr>
              <w:spacing w:line="360" w:lineRule="auto"/>
              <w:ind w:firstLine="480" w:firstLineChars="200"/>
              <w:rPr>
                <w:rFonts w:ascii="宋体"/>
                <w:sz w:val="24"/>
              </w:rPr>
            </w:pPr>
            <w:r>
              <w:rPr>
                <w:rFonts w:ascii="宋体"/>
                <w:sz w:val="24"/>
              </w:rPr>
              <w:t>答:尊敬的投资者，您好。公司高度重视反垄断监管风险问题，持续建立健全合规内控机制、审慎评估商业行为以及积极响应国家战略，在快速发展的行业格局中行稳致远。为强化“忠诚敬业、强港立人”的企业精神，增强职工对实现公司持续、健康发展的责任心和使命感，目前，公司实施有“十四五”职工效益激励计划。每年根据公司经营业绩完成情况，为在岗职工提供年度现金激励。感谢您对公司的关注。</w:t>
            </w:r>
          </w:p>
          <w:p w14:paraId="38DEEC7A">
            <w:pPr>
              <w:spacing w:line="360" w:lineRule="auto"/>
              <w:ind w:firstLine="480" w:firstLineChars="200"/>
            </w:pPr>
            <w:r>
              <w:rPr>
                <w:rFonts w:ascii="宋体"/>
                <w:sz w:val="24"/>
              </w:rPr>
              <w:t>5、公司在‘智慧港口’和绿色低碳转型方面有持续投入，但财报中未详细披露相关进展。请问目前智能化改造（如自动化码头、AI调度系统）对运营效率的具体提升效果如何？未来是否有计划在ESG领域进一步加大投入，并如何评估其商业价值与投资回报？</w:t>
            </w:r>
          </w:p>
          <w:p w14:paraId="224FED11">
            <w:pPr>
              <w:spacing w:line="360" w:lineRule="auto"/>
              <w:ind w:firstLine="480" w:firstLineChars="200"/>
              <w:rPr>
                <w:rFonts w:ascii="宋体"/>
                <w:sz w:val="24"/>
              </w:rPr>
            </w:pPr>
            <w:r>
              <w:rPr>
                <w:rFonts w:ascii="宋体"/>
                <w:sz w:val="24"/>
              </w:rPr>
              <w:t>答:尊敬的投资者，您好。“智慧港口和绿色港口”是港口行业未来发展趋势，公司持续推进这两个领域的工作。近年以来，自动化码头在设备稳定性和作业效率等方面不断提升。未来，公司将继续响应国家“双碳”战略，履行国有企业的社会责任，按照国家及上海市的政策引导方向，持续推进绿色低碳转型工作。感谢您对公司的关注。</w:t>
            </w:r>
          </w:p>
          <w:p w14:paraId="7F241B0E">
            <w:pPr>
              <w:spacing w:line="360" w:lineRule="auto"/>
              <w:ind w:firstLine="480" w:firstLineChars="200"/>
            </w:pPr>
            <w:r>
              <w:rPr>
                <w:rFonts w:ascii="宋体"/>
                <w:sz w:val="24"/>
              </w:rPr>
              <w:t>6、注意到公司总裁宋晓东2024年薪酬为16.5万元，远低于行业平均水平。请问公司如何通过薪酬体系设计激励管理层？是否存在股权激励等长期绑定机制？同时，作为信息传递的关键角色，您认为当前财报披露中哪些信息可以进一步细化（如分业务板块利润率、海外收入结构），以帮助投资者更精准评估公司价值？</w:t>
            </w:r>
          </w:p>
          <w:p w14:paraId="1F64DB15">
            <w:pPr>
              <w:spacing w:line="360" w:lineRule="auto"/>
              <w:ind w:firstLine="480" w:firstLineChars="200"/>
              <w:rPr>
                <w:rFonts w:ascii="宋体"/>
                <w:sz w:val="24"/>
              </w:rPr>
            </w:pPr>
            <w:r>
              <w:rPr>
                <w:rFonts w:ascii="宋体"/>
                <w:sz w:val="24"/>
              </w:rPr>
              <w:t>答:尊敬的投资者，您好。经公司董事会审议，宋晓东先生于2024年10月起担任公司总裁，其2024年薪酬为非完整年度薪酬。公司不断完善对高级管理人员的选聘、绩效评价标准和激励约束机制。公司实施高级管理人员任期制契约化管理，建立了完善的绩效考评制度。此外，公司于2021年实施了A股限制性股票激励计划，目前仍在有效期内。感谢您对公司的关注。</w:t>
            </w:r>
          </w:p>
          <w:p w14:paraId="562E5E94">
            <w:pPr>
              <w:spacing w:line="360" w:lineRule="auto"/>
              <w:ind w:firstLine="480" w:firstLineChars="200"/>
            </w:pPr>
            <w:r>
              <w:rPr>
                <w:rFonts w:ascii="宋体"/>
                <w:sz w:val="24"/>
              </w:rPr>
              <w:t>7、独立董事您好！注意到公司资产负债率降至29.84%，低于行业平均，但短期借款较上季度有所增加。请问公司如何平衡低负债与流动性需求？是否存在潜在的财务风险？此外，作为独立监督者，您如何看待公司与关联方的交易（如邮储银行的投资收益），如何确保交易公允性并防范利益冲突？</w:t>
            </w:r>
          </w:p>
          <w:p w14:paraId="062CF398">
            <w:pPr>
              <w:spacing w:line="360" w:lineRule="auto"/>
              <w:ind w:firstLine="480" w:firstLineChars="200"/>
              <w:rPr>
                <w:rFonts w:ascii="宋体"/>
                <w:sz w:val="24"/>
              </w:rPr>
            </w:pPr>
            <w:r>
              <w:rPr>
                <w:rFonts w:ascii="宋体"/>
                <w:sz w:val="24"/>
              </w:rPr>
              <w:t>答:尊敬的投资者，您好。我们一直致力于提升资本使用效率，在债务融资方面，公司具备丰富的融资渠道和充足的授信额度，且融资成本长期处于低位，这为我们优化资本结构提供了良好条件。我们会根据资本支出需求，并结合公司自有资金状况，科学合理地进行债务配置。对于重大项目建设资金需求，我们拥有固定资产项目贷款、发行债券等多种融资方式，会依据市场情况和融资条件灵活选择，确保以最优成本获取资金，从而进一步提升资本使用效率，为股东创造更大价值。公司在邮储银行开展存贷款等业务的存、贷款利率均按商业原则，参照邮储银行对其他客户同期存贷款利率确定，关联交易定价符合相关规定程序。感谢您对公司的关注。</w:t>
            </w:r>
          </w:p>
          <w:p w14:paraId="04493D70">
            <w:pPr>
              <w:spacing w:line="360" w:lineRule="auto"/>
              <w:ind w:firstLine="480" w:firstLineChars="200"/>
            </w:pPr>
            <w:r>
              <w:rPr>
                <w:rFonts w:ascii="宋体"/>
                <w:sz w:val="24"/>
              </w:rPr>
              <w:t>8、总裁您好！公司2025年Q3营收同比增长3.18%，但归母净利润同比下降4.56%，呈现‘增收不增利’的现象。请问这主要受哪些因素影响？未来如何平衡收入增长与利润提升？特别是在全球航运市场波动、港口竞争加剧的背景下，公司有哪些具体措施保障长期盈利能力？</w:t>
            </w:r>
          </w:p>
          <w:p w14:paraId="7F8057B2">
            <w:pPr>
              <w:spacing w:line="360" w:lineRule="auto"/>
              <w:ind w:firstLine="480" w:firstLineChars="200"/>
              <w:rPr>
                <w:rFonts w:ascii="宋体"/>
                <w:sz w:val="24"/>
              </w:rPr>
            </w:pPr>
            <w:r>
              <w:rPr>
                <w:rFonts w:ascii="宋体"/>
                <w:sz w:val="24"/>
              </w:rPr>
              <w:t>答:尊敬的投资者，您好。主要是公司加强港口主业投资，折旧及刚性成本相应增加。公司将持续聚焦自身发展，不断巩固港口主业领先地位，不断增强竞争优势，不断提升盈利能力和盈利水平，努力实现公司稳步、高质量、可持续的发展。感谢您对公司的关注。</w:t>
            </w:r>
          </w:p>
          <w:p w14:paraId="50CFF898">
            <w:pPr>
              <w:spacing w:line="360" w:lineRule="auto"/>
              <w:ind w:firstLine="480" w:firstLineChars="200"/>
            </w:pPr>
            <w:r>
              <w:rPr>
                <w:rFonts w:ascii="宋体"/>
                <w:sz w:val="24"/>
              </w:rPr>
              <w:t>9、您好，公司三季报显示，前三季度归母净利润同比下降4.56%，但经营活动现金流净额却大幅增长32.05%。请问，导致净利润与现金流产生明显反差的具体原因是什么？这种强劲的现金流状况是否具备可持续性，是否能持续支撑公司未来的战略投资和股东回报？</w:t>
            </w:r>
          </w:p>
          <w:p w14:paraId="16AFA629">
            <w:pPr>
              <w:spacing w:line="360" w:lineRule="auto"/>
              <w:ind w:firstLine="480" w:firstLineChars="200"/>
              <w:rPr>
                <w:rFonts w:ascii="宋体"/>
                <w:sz w:val="24"/>
              </w:rPr>
            </w:pPr>
            <w:r>
              <w:rPr>
                <w:rFonts w:ascii="宋体"/>
                <w:sz w:val="24"/>
              </w:rPr>
              <w:t>答:尊敬的投资者，您好。经营现金流同比增长主要原因为本期销售商品提供劳务收到的现金同比增加以及支付税费同比减少。公司重视现金流可持续性，并制定内部管理制度予以监督。公司持续聚焦自身发展，持续巩固港口主业领先地位，不断增强竞争优势，不断提升盈利能力和盈利水平，努力实现公司稳步、高质量、可持续的发展。感谢您对公司的关注。</w:t>
            </w:r>
          </w:p>
          <w:p w14:paraId="508D5F78">
            <w:pPr>
              <w:spacing w:line="360" w:lineRule="auto"/>
              <w:ind w:firstLine="480" w:firstLineChars="200"/>
            </w:pPr>
            <w:r>
              <w:rPr>
                <w:rFonts w:ascii="宋体"/>
                <w:sz w:val="24"/>
              </w:rPr>
              <w:t>10、你好，年报中上港集团对合营企业和联营企业的长期股权投资，盈余状况有披露，但不见上港集团对子公司的长期股权投资盈余披露，合适吗？</w:t>
            </w:r>
          </w:p>
          <w:p w14:paraId="04B3C65C">
            <w:pPr>
              <w:spacing w:line="360" w:lineRule="auto"/>
              <w:ind w:firstLine="480" w:firstLineChars="200"/>
              <w:rPr>
                <w:rFonts w:ascii="宋体"/>
                <w:sz w:val="24"/>
              </w:rPr>
            </w:pPr>
            <w:r>
              <w:rPr>
                <w:rFonts w:ascii="宋体"/>
                <w:sz w:val="24"/>
              </w:rPr>
              <w:t>答:公司已在年度报告中进行了披露，具体请见年度报告中“财务报告”之“母公司财务报表主要项目注释中”之”长期股权投资-对子公司投资“内容。</w:t>
            </w:r>
          </w:p>
          <w:p w14:paraId="5A119630">
            <w:pPr>
              <w:spacing w:line="360" w:lineRule="auto"/>
              <w:ind w:firstLine="480" w:firstLineChars="200"/>
            </w:pPr>
            <w:r>
              <w:rPr>
                <w:rFonts w:ascii="宋体"/>
                <w:sz w:val="24"/>
              </w:rPr>
              <w:t>11、你好，上港集团母公司报表利润明显小于合并报表利润，采用母公司报表可供分配利润进行分配，分配利润占当年可供分配利润30%，是否符合公司章程规定？</w:t>
            </w:r>
          </w:p>
          <w:p w14:paraId="4BFC218E">
            <w:pPr>
              <w:spacing w:line="360" w:lineRule="auto"/>
              <w:ind w:firstLine="480" w:firstLineChars="200"/>
              <w:rPr>
                <w:rFonts w:ascii="宋体"/>
                <w:sz w:val="24"/>
              </w:rPr>
            </w:pPr>
            <w:r>
              <w:rPr>
                <w:rFonts w:ascii="宋体"/>
                <w:sz w:val="24"/>
              </w:rPr>
              <w:t>答:尊敬的投资者，您好。根据《上海证券交易所股票上市规则》的相关规定，上市公司制定利润分配方案时，应当以母公司报表中可供分配利润为依据。根据《公司章程》，公司2024年度现金分红（包括半年度分配的现金红利）总额约为45.40亿元（含税），占公司当年可分配利润75.04亿元的比例超过60%，符合《公司章程》及相关法律法规的规定。感谢您对公司的关注。</w:t>
            </w:r>
          </w:p>
          <w:p w14:paraId="40A0BDD2">
            <w:pPr>
              <w:spacing w:line="360" w:lineRule="auto"/>
              <w:ind w:firstLine="480" w:firstLineChars="200"/>
            </w:pPr>
            <w:r>
              <w:rPr>
                <w:rFonts w:ascii="宋体"/>
                <w:sz w:val="24"/>
              </w:rPr>
              <w:t>12、上港集团部分高管6元减持股份，其持股成本2.21元（2021年股票激励行权价），是因为持股价格低还是不看好上港集团的未来业绩?</w:t>
            </w:r>
          </w:p>
          <w:p w14:paraId="6D2640BD">
            <w:pPr>
              <w:spacing w:line="360" w:lineRule="auto"/>
              <w:ind w:firstLine="480" w:firstLineChars="200"/>
              <w:rPr>
                <w:rFonts w:ascii="宋体"/>
                <w:sz w:val="24"/>
              </w:rPr>
            </w:pPr>
            <w:r>
              <w:rPr>
                <w:rFonts w:ascii="宋体"/>
                <w:sz w:val="24"/>
              </w:rPr>
              <w:t>答:尊敬的投资者，您好。公司部分高管因个人资金需求原因减持部分股份。公司生产经营稳定，并持续聚焦自身发展，持续巩固港口主业领先地位，不断增强竞争优势，不断提升盈利能力和盈利水平，努力实现公司稳步、高质量、可持续的发展。感谢您对公司的关注。</w:t>
            </w:r>
          </w:p>
          <w:p w14:paraId="67DCB6E0">
            <w:pPr>
              <w:spacing w:line="360" w:lineRule="auto"/>
              <w:ind w:firstLine="480" w:firstLineChars="200"/>
            </w:pPr>
            <w:r>
              <w:rPr>
                <w:rFonts w:ascii="宋体"/>
                <w:sz w:val="24"/>
              </w:rPr>
              <w:t>13、2025年3季报P13，本期数，母公司投资收益总数42亿，联营与合营投资收益22亿，差额20亿元如何？为什么不对主要会计数据、财务指标发生变动的情况说明原因？</w:t>
            </w:r>
          </w:p>
          <w:p w14:paraId="18BB9B7D">
            <w:pPr>
              <w:spacing w:line="360" w:lineRule="auto"/>
              <w:ind w:firstLine="480" w:firstLineChars="200"/>
              <w:rPr>
                <w:rFonts w:ascii="宋体"/>
                <w:sz w:val="24"/>
              </w:rPr>
            </w:pPr>
            <w:r>
              <w:rPr>
                <w:rFonts w:ascii="宋体"/>
                <w:sz w:val="24"/>
              </w:rPr>
              <w:t>答:尊敬的投资者，您好。差额20亿元主要是成本法核算的长期股权投资收益、其他非流动金融资产在持有期间取得的投资收益。感谢您对公司的关注。</w:t>
            </w:r>
          </w:p>
          <w:p w14:paraId="6E3B89A0">
            <w:pPr>
              <w:spacing w:line="360" w:lineRule="auto"/>
              <w:ind w:firstLine="480" w:firstLineChars="200"/>
            </w:pPr>
            <w:r>
              <w:rPr>
                <w:rFonts w:ascii="宋体"/>
                <w:sz w:val="24"/>
              </w:rPr>
              <w:t>14、2025年3季报P8页合并报表投资收益部分，本期总数约66亿，其中联营与合营投资收益62亿，差额4亿元，是什么？</w:t>
            </w:r>
          </w:p>
          <w:p w14:paraId="76C564FD">
            <w:pPr>
              <w:spacing w:line="360" w:lineRule="auto"/>
              <w:ind w:firstLine="480" w:firstLineChars="200"/>
              <w:rPr>
                <w:rFonts w:ascii="宋体"/>
                <w:sz w:val="24"/>
              </w:rPr>
            </w:pPr>
            <w:r>
              <w:rPr>
                <w:rFonts w:ascii="宋体"/>
                <w:sz w:val="24"/>
              </w:rPr>
              <w:t>答:尊敬的投资者，您好。公司2025年三季报披露的合并报表投资收益部分，本期总数为64.46亿，其中联营与合营投资收益62.88亿，差异主要为公司对外委贷利息收入、其他非流动金融资产在持有期间取得的投资收益及非同一控制下企业合并产生的投资收益。感谢您对公司的关注。</w:t>
            </w:r>
          </w:p>
          <w:p w14:paraId="6660B99B">
            <w:pPr>
              <w:spacing w:line="360" w:lineRule="auto"/>
              <w:ind w:firstLine="480" w:firstLineChars="200"/>
            </w:pPr>
            <w:r>
              <w:rPr>
                <w:rFonts w:ascii="宋体"/>
                <w:sz w:val="24"/>
              </w:rPr>
              <w:t>15、上港集团纳入合并报表的子公司有150余家，有许多投资额上亿的子公司，这些公司投运效果如何？为什么年报不披露一下盈亏状况？比如上海海港足球俱乐部，投资者无法从足球俱乐部获取盈余信息。</w:t>
            </w:r>
          </w:p>
          <w:p w14:paraId="7FFC1CAA">
            <w:pPr>
              <w:spacing w:line="360" w:lineRule="auto"/>
              <w:ind w:firstLine="480" w:firstLineChars="200"/>
              <w:rPr>
                <w:rFonts w:ascii="宋体"/>
                <w:sz w:val="24"/>
              </w:rPr>
            </w:pPr>
            <w:r>
              <w:rPr>
                <w:rFonts w:ascii="宋体"/>
                <w:sz w:val="24"/>
              </w:rPr>
              <w:t>答:尊敬的投资者，您好。公司在年报中对于主要控股参股公司情况均有披露。有关俱乐部相关信息，请您关注俱乐部官方发布。感谢您对公司的关注。</w:t>
            </w:r>
          </w:p>
          <w:p w14:paraId="081CE512">
            <w:pPr>
              <w:spacing w:line="360" w:lineRule="auto"/>
              <w:ind w:firstLine="480" w:firstLineChars="200"/>
            </w:pPr>
            <w:r>
              <w:rPr>
                <w:rFonts w:ascii="宋体"/>
                <w:sz w:val="24"/>
              </w:rPr>
              <w:t>16、2025年10月修订公司章程171条（之前为161条），“公司应采取积极的股利政策，每年应将当年利润中不少于 50％的可分配利润向股东进行分配，”请问这里的当年可分配利润是上港集团当年全部可供分配利润还是部分可供分配利润？</w:t>
            </w:r>
          </w:p>
          <w:p w14:paraId="15F92261">
            <w:pPr>
              <w:spacing w:line="360" w:lineRule="auto"/>
              <w:ind w:firstLine="480" w:firstLineChars="200"/>
              <w:rPr>
                <w:rFonts w:ascii="宋体"/>
                <w:sz w:val="24"/>
              </w:rPr>
            </w:pPr>
            <w:r>
              <w:rPr>
                <w:rFonts w:ascii="宋体"/>
                <w:sz w:val="24"/>
              </w:rPr>
              <w:t>答:尊敬的投资者，您好。根据《公司章程》规定，公司每年应将当年利润中不少于50％的可分配利润向股东进行分配。公司2024年度母公司实现净利润83.38亿元，提取法定公积金10%后的可分配利润为人民币75.04亿元。公司2024年度现金分红（包括半年度分配的现金红利）总额约为45.40亿元（含税），占公司当年可分配利润的比例超过60%，符合《公司章程》的相关规定。感谢您对公司的关注。</w:t>
            </w:r>
          </w:p>
          <w:p w14:paraId="6E1D97C4">
            <w:pPr>
              <w:spacing w:line="360" w:lineRule="auto"/>
              <w:ind w:firstLine="480" w:firstLineChars="200"/>
            </w:pPr>
            <w:r>
              <w:rPr>
                <w:rFonts w:ascii="宋体"/>
                <w:sz w:val="24"/>
              </w:rPr>
              <w:t>17、上港集团2025前3季度营收和成本同比略增，但税费同比增加了净8亿，导致净利润同比下降，为什么？</w:t>
            </w:r>
          </w:p>
          <w:p w14:paraId="5E8FA2AF">
            <w:pPr>
              <w:spacing w:line="360" w:lineRule="auto"/>
              <w:ind w:firstLine="480" w:firstLineChars="200"/>
              <w:rPr>
                <w:rFonts w:ascii="宋体"/>
                <w:sz w:val="24"/>
              </w:rPr>
            </w:pPr>
            <w:r>
              <w:rPr>
                <w:rFonts w:ascii="宋体"/>
                <w:sz w:val="24"/>
              </w:rPr>
              <w:t>答:尊敬的投资者，您好。本季度所得税费用的增长，一是部分子公司盈利增长，预提所得税；二是对部分子公司前期确认的递延所得税资产，根据《企业会计准则第18号——所得税》进行了重新计量。感谢您对公司的关注。</w:t>
            </w:r>
          </w:p>
          <w:p w14:paraId="63F19D7D">
            <w:pPr>
              <w:spacing w:line="360" w:lineRule="auto"/>
              <w:ind w:firstLine="480" w:firstLineChars="200"/>
            </w:pPr>
            <w:r>
              <w:rPr>
                <w:rFonts w:ascii="宋体"/>
                <w:sz w:val="24"/>
              </w:rPr>
              <w:t>18、您好，公司三季度的利润总额同比增加4.86亿，而所得税费用同比增加8.08亿，为什么所得税费用的同比增幅远超利润总额？税率的增加属于短期影响，还是长期影响？</w:t>
            </w:r>
          </w:p>
          <w:p w14:paraId="475A6518">
            <w:pPr>
              <w:spacing w:line="360" w:lineRule="auto"/>
              <w:ind w:firstLine="480" w:firstLineChars="200"/>
              <w:rPr>
                <w:rFonts w:ascii="宋体"/>
                <w:sz w:val="24"/>
              </w:rPr>
            </w:pPr>
            <w:r>
              <w:rPr>
                <w:rFonts w:ascii="宋体"/>
                <w:sz w:val="24"/>
              </w:rPr>
              <w:t>答:尊敬的投资者，您好。本季度所得税费用的增长，一是部分子公司盈利增长，预提所得税；二是对部分子公司前期确认的递延所得税资产，根据《企业会计准则第18号——所得税》进行了重新计量。感谢您对公司的关注。</w:t>
            </w:r>
          </w:p>
          <w:p w14:paraId="6CF7A5F2">
            <w:pPr>
              <w:spacing w:line="360" w:lineRule="auto"/>
              <w:ind w:firstLine="480" w:firstLineChars="200"/>
            </w:pPr>
            <w:r>
              <w:rPr>
                <w:rFonts w:ascii="宋体"/>
                <w:sz w:val="24"/>
              </w:rPr>
              <w:t>19、您好，公司三季度的资产减值损失超过2.85亿元，同比大幅增加，具体是什么原因？</w:t>
            </w:r>
          </w:p>
          <w:p w14:paraId="07C53310">
            <w:pPr>
              <w:spacing w:line="360" w:lineRule="auto"/>
              <w:ind w:firstLine="480" w:firstLineChars="200"/>
              <w:rPr>
                <w:rFonts w:ascii="宋体"/>
                <w:sz w:val="24"/>
              </w:rPr>
            </w:pPr>
            <w:r>
              <w:rPr>
                <w:rFonts w:ascii="宋体"/>
                <w:sz w:val="24"/>
              </w:rPr>
              <w:t>答:尊敬的投资者，您好。公司基于对所持有的资产未来收益的合理判断，适当计提了减值准备，以夯实公司资产质量。感谢您对公司的关注。</w:t>
            </w:r>
          </w:p>
          <w:p w14:paraId="7B34717D">
            <w:pPr>
              <w:spacing w:line="360" w:lineRule="auto"/>
              <w:ind w:firstLine="480" w:firstLineChars="200"/>
            </w:pPr>
            <w:r>
              <w:rPr>
                <w:rFonts w:ascii="宋体"/>
                <w:sz w:val="24"/>
              </w:rPr>
              <w:t>20、您好，公司在"十四五"期间提升了港口的综合服务能力，请问：目前公司“十五五”规划是否已经完成编制，是否能公布相关的战略目标、重点任务和举措？</w:t>
            </w:r>
          </w:p>
          <w:p w14:paraId="4EED9EEB">
            <w:pPr>
              <w:spacing w:line="360" w:lineRule="auto"/>
              <w:ind w:firstLine="480" w:firstLineChars="200"/>
              <w:rPr>
                <w:rFonts w:ascii="宋体"/>
                <w:sz w:val="24"/>
              </w:rPr>
            </w:pPr>
            <w:r>
              <w:rPr>
                <w:rFonts w:ascii="宋体"/>
                <w:sz w:val="24"/>
              </w:rPr>
              <w:t>答:尊敬的投资者，您好。目前，公司“十五五”规划正处于研究、讨论、编制过程中，后续将根据相关规定，履行相关决策程序并及时履行信息披露义务。感谢您对公司的关注。</w:t>
            </w:r>
          </w:p>
          <w:p w14:paraId="645BAE7E">
            <w:pPr>
              <w:pStyle w:val="8"/>
              <w:spacing w:line="460" w:lineRule="exact"/>
              <w:ind w:firstLine="480" w:firstLineChars="200"/>
              <w:rPr>
                <w:rFonts w:ascii="宋体" w:hAnsi="宋体"/>
                <w:sz w:val="24"/>
                <w:szCs w:val="24"/>
              </w:rPr>
            </w:pPr>
            <w:r>
              <w:rPr>
                <w:rFonts w:ascii="宋体" w:hAnsi="宋体"/>
                <w:sz w:val="24"/>
                <w:szCs w:val="24"/>
              </w:rPr>
              <w:t>21</w:t>
            </w:r>
            <w:r>
              <w:rPr>
                <w:rFonts w:ascii="宋体"/>
                <w:sz w:val="24"/>
              </w:rPr>
              <w:t>、</w:t>
            </w:r>
            <w:r>
              <w:rPr>
                <w:rFonts w:hint="eastAsia" w:ascii="宋体" w:hAnsi="宋体"/>
                <w:sz w:val="24"/>
                <w:szCs w:val="24"/>
              </w:rPr>
              <w:t>您好，公司在"十四五"期间有效提升了港口的综合服务能力，请问：目前公司“十五五”规划是否已经完成编制，能否公布相关的战略目标、重点任务和举措？</w:t>
            </w:r>
          </w:p>
          <w:p w14:paraId="068C52DB">
            <w:pPr>
              <w:pStyle w:val="8"/>
              <w:spacing w:line="460" w:lineRule="exact"/>
              <w:ind w:firstLine="480" w:firstLineChars="200"/>
              <w:rPr>
                <w:rFonts w:hint="eastAsia" w:ascii="宋体" w:hAnsi="宋体"/>
                <w:sz w:val="24"/>
                <w:szCs w:val="24"/>
              </w:rPr>
            </w:pPr>
            <w:r>
              <w:rPr>
                <w:rFonts w:ascii="宋体"/>
                <w:sz w:val="24"/>
              </w:rPr>
              <w:t>答:</w:t>
            </w:r>
            <w:r>
              <w:rPr>
                <w:rFonts w:hint="eastAsia" w:ascii="宋体" w:hAnsi="宋体"/>
                <w:sz w:val="24"/>
                <w:szCs w:val="24"/>
              </w:rPr>
              <w:t>尊敬的投资者，您好。目前，公司“十五五”规划正处于研究、讨论、编制过程中，后续将根据相关规定，履行相关决策程序并及时履行信息披露义务。感谢您对公司的关注。</w:t>
            </w:r>
          </w:p>
          <w:p w14:paraId="1D3C4F00">
            <w:pPr>
              <w:pStyle w:val="8"/>
              <w:spacing w:line="460" w:lineRule="exact"/>
              <w:ind w:firstLine="480" w:firstLineChars="200"/>
              <w:rPr>
                <w:rFonts w:hint="eastAsia" w:ascii="宋体" w:hAnsi="宋体"/>
                <w:sz w:val="24"/>
                <w:szCs w:val="24"/>
              </w:rPr>
            </w:pPr>
            <w:r>
              <w:rPr>
                <w:rFonts w:hint="eastAsia" w:ascii="宋体" w:hAnsi="宋体"/>
                <w:sz w:val="24"/>
                <w:szCs w:val="24"/>
              </w:rPr>
              <w:t>22、您好，公司三季度的资产减值损失超过2.85亿元，同比大幅增加，具体是什么原因？谢谢。</w:t>
            </w:r>
          </w:p>
          <w:p w14:paraId="799AD9AB">
            <w:pPr>
              <w:pStyle w:val="8"/>
              <w:spacing w:line="460" w:lineRule="exact"/>
              <w:ind w:firstLine="480" w:firstLineChars="200"/>
              <w:rPr>
                <w:rFonts w:hint="eastAsia" w:ascii="宋体" w:hAnsi="宋体"/>
                <w:sz w:val="24"/>
                <w:szCs w:val="24"/>
              </w:rPr>
            </w:pPr>
            <w:r>
              <w:rPr>
                <w:rFonts w:hint="eastAsia" w:ascii="宋体" w:hAnsi="宋体"/>
                <w:sz w:val="24"/>
                <w:szCs w:val="24"/>
              </w:rPr>
              <w:t>答：尊敬的投资者，您好。公司基于对所持有的资产未来收益的合理判断，适当计提了减值准备，以夯实公司资产质量。感谢您对公司的关注。</w:t>
            </w:r>
          </w:p>
          <w:p w14:paraId="3B1D6293">
            <w:pPr>
              <w:pStyle w:val="8"/>
              <w:spacing w:line="460" w:lineRule="exact"/>
              <w:ind w:firstLine="480" w:firstLineChars="200"/>
              <w:rPr>
                <w:rFonts w:hint="eastAsia" w:ascii="宋体" w:hAnsi="宋体"/>
                <w:sz w:val="24"/>
                <w:szCs w:val="24"/>
              </w:rPr>
            </w:pPr>
            <w:r>
              <w:rPr>
                <w:rFonts w:hint="eastAsia" w:ascii="宋体" w:hAnsi="宋体"/>
                <w:sz w:val="24"/>
                <w:szCs w:val="24"/>
              </w:rPr>
              <w:t>23、您好，三季度公司的所得税费用同比增加8.08亿，而利润总额同比仅增加4.86亿，为什么公司所得税费用增加的幅度远高于利润总额？税率的增加属于短期影响，还是长期影响？谢谢。</w:t>
            </w:r>
          </w:p>
          <w:p w14:paraId="19BA5257">
            <w:pPr>
              <w:pStyle w:val="8"/>
              <w:spacing w:line="460" w:lineRule="exact"/>
              <w:ind w:firstLine="480" w:firstLineChars="200"/>
              <w:rPr>
                <w:rFonts w:ascii="宋体" w:hAnsi="宋体"/>
                <w:sz w:val="24"/>
                <w:szCs w:val="24"/>
              </w:rPr>
            </w:pPr>
            <w:r>
              <w:rPr>
                <w:rFonts w:hint="eastAsia" w:ascii="宋体" w:hAnsi="宋体"/>
                <w:sz w:val="24"/>
                <w:szCs w:val="24"/>
              </w:rPr>
              <w:t>答：尊敬的投资者，您好。本季度所得税费用的增长，一是部分子公司盈利增长，预提所得税；二是对部分子公司前期确认的递延所得税资产，根据《企业会计准则第18号——所得税》进行了重新计量。感谢您对公司的关注。</w:t>
            </w:r>
          </w:p>
          <w:p w14:paraId="69A25518">
            <w:pPr>
              <w:pStyle w:val="8"/>
              <w:spacing w:line="460" w:lineRule="exact"/>
              <w:ind w:firstLine="480" w:firstLineChars="200"/>
              <w:rPr>
                <w:rFonts w:hint="eastAsia" w:ascii="宋体" w:hAnsi="宋体"/>
                <w:sz w:val="24"/>
                <w:szCs w:val="24"/>
              </w:rPr>
            </w:pPr>
            <w:r>
              <w:rPr>
                <w:rFonts w:hint="eastAsia" w:ascii="宋体" w:hAnsi="宋体"/>
                <w:sz w:val="24"/>
                <w:szCs w:val="24"/>
              </w:rPr>
              <w:t>24、请问，公司三季报显示所得税费用大幅增加，是什么原因，谢谢！</w:t>
            </w:r>
          </w:p>
          <w:p w14:paraId="3E1DFB32">
            <w:pPr>
              <w:pStyle w:val="8"/>
              <w:spacing w:line="460" w:lineRule="exact"/>
              <w:ind w:firstLine="480" w:firstLineChars="200"/>
              <w:rPr>
                <w:rFonts w:ascii="宋体" w:hAnsi="宋体"/>
                <w:sz w:val="24"/>
                <w:szCs w:val="24"/>
              </w:rPr>
            </w:pPr>
            <w:r>
              <w:rPr>
                <w:rFonts w:hint="eastAsia" w:ascii="宋体" w:hAnsi="宋体"/>
                <w:sz w:val="24"/>
                <w:szCs w:val="24"/>
              </w:rPr>
              <w:t>答：尊敬的投资者，您好。本季度所得税费用的增长，一是部分子公司盈利增长，预提所得税；二是对部分子公司前期确认的递延所得税资产，根据《企业会计准则第18号——所得税》进行了重新计量。感谢您对公司的关注。</w:t>
            </w:r>
          </w:p>
          <w:p w14:paraId="6877A3FF">
            <w:pPr>
              <w:pStyle w:val="8"/>
              <w:spacing w:line="460" w:lineRule="exact"/>
              <w:ind w:firstLine="480" w:firstLineChars="200"/>
              <w:rPr>
                <w:rFonts w:ascii="宋体" w:hAnsi="宋体"/>
                <w:sz w:val="24"/>
                <w:szCs w:val="24"/>
              </w:rPr>
            </w:pPr>
            <w:r>
              <w:rPr>
                <w:rFonts w:hint="eastAsia" w:ascii="宋体" w:hAnsi="宋体"/>
                <w:sz w:val="24"/>
                <w:szCs w:val="24"/>
              </w:rPr>
              <w:t>25、贵司今年二、三季度所得税费用占利润总额的占比比以往高许多，尤其是第三季度。导致前三季度的总所得税费用已经高于去年整年，但前三季度的利润总额并没有去年一整年高。请贵司解释。</w:t>
            </w:r>
          </w:p>
          <w:p w14:paraId="74046644">
            <w:pPr>
              <w:pStyle w:val="8"/>
              <w:spacing w:line="460" w:lineRule="exact"/>
              <w:ind w:firstLine="480" w:firstLineChars="200"/>
              <w:rPr>
                <w:rFonts w:ascii="宋体" w:hAnsi="宋体"/>
                <w:sz w:val="24"/>
                <w:szCs w:val="24"/>
              </w:rPr>
            </w:pPr>
            <w:r>
              <w:rPr>
                <w:rFonts w:ascii="宋体" w:hAnsi="宋体"/>
                <w:sz w:val="24"/>
                <w:szCs w:val="24"/>
              </w:rPr>
              <w:t>答：</w:t>
            </w:r>
            <w:r>
              <w:rPr>
                <w:rFonts w:hint="eastAsia" w:ascii="宋体" w:hAnsi="宋体"/>
                <w:sz w:val="24"/>
                <w:szCs w:val="24"/>
              </w:rPr>
              <w:t>尊敬的投资者，您好。本季度所得税费用的增长，一是部分子公司盈利增长，预提所得税；二是对部分子公司前期确认的递延所得税资产，根据《企业会计准则第18号——所得税》进行了重新计量。感谢您对公司的关注。</w:t>
            </w:r>
          </w:p>
          <w:p w14:paraId="55F8CC2D">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p>
          <w:p w14:paraId="2BB049D6">
            <w:pPr>
              <w:snapToGrid w:val="0"/>
              <w:spacing w:line="240" w:lineRule="auto"/>
              <w:ind w:firstLine="480" w:firstLineChars="200"/>
              <w:jc w:val="both"/>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注：投资者可以通过上证路演中心（https://roadshow.sseinfo.com/）查看本次业绩说明会的召开情况及主要内容。</w:t>
            </w:r>
          </w:p>
        </w:tc>
      </w:tr>
      <w:tr w14:paraId="1FBD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1" w:type="dxa"/>
            <w:tcBorders>
              <w:top w:val="single" w:color="auto" w:sz="4" w:space="0"/>
              <w:left w:val="single" w:color="auto" w:sz="4" w:space="0"/>
              <w:right w:val="single" w:color="auto" w:sz="4" w:space="0"/>
            </w:tcBorders>
            <w:vAlign w:val="center"/>
          </w:tcPr>
          <w:p w14:paraId="56A3B609">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关于本次活动是否涉及应披露重大信息的说明</w:t>
            </w:r>
          </w:p>
        </w:tc>
        <w:tc>
          <w:tcPr>
            <w:tcW w:w="7254" w:type="dxa"/>
            <w:tcBorders>
              <w:top w:val="single" w:color="auto" w:sz="4" w:space="0"/>
              <w:left w:val="single" w:color="auto" w:sz="4" w:space="0"/>
              <w:right w:val="single" w:color="auto" w:sz="4" w:space="0"/>
            </w:tcBorders>
            <w:vAlign w:val="center"/>
          </w:tcPr>
          <w:p w14:paraId="13070F36">
            <w:pPr>
              <w:pStyle w:val="8"/>
              <w:snapToGrid w:val="0"/>
              <w:spacing w:line="300" w:lineRule="auto"/>
              <w:ind w:left="-2" w:leftChars="-1" w:firstLine="480"/>
              <w:rPr>
                <w:rFonts w:asciiTheme="minorEastAsia" w:hAnsiTheme="minorEastAsia" w:eastAsiaTheme="minorEastAsia"/>
                <w:bCs/>
                <w:iCs/>
                <w:color w:val="000000"/>
                <w:sz w:val="24"/>
                <w:szCs w:val="24"/>
              </w:rPr>
            </w:pPr>
            <w:r>
              <w:rPr>
                <w:rFonts w:asciiTheme="minorEastAsia" w:hAnsiTheme="minorEastAsia" w:eastAsiaTheme="minorEastAsia"/>
                <w:sz w:val="24"/>
                <w:szCs w:val="24"/>
              </w:rPr>
              <w:t>业绩说明会召开过程中，公司严格按照有关制度要求，没有出现未公开重大信息泄露等情况。</w:t>
            </w:r>
          </w:p>
        </w:tc>
      </w:tr>
    </w:tbl>
    <w:p w14:paraId="44AC3688">
      <w:pPr>
        <w:snapToGrid w:val="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4A11">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95C08">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MzVjZTc3Y2E3NDA2ODM5M2IxZDI3NjE5ZmMxZjQifQ=="/>
  </w:docVars>
  <w:rsids>
    <w:rsidRoot w:val="006861C7"/>
    <w:rsid w:val="00015943"/>
    <w:rsid w:val="000268C0"/>
    <w:rsid w:val="000363B5"/>
    <w:rsid w:val="000375D7"/>
    <w:rsid w:val="00043015"/>
    <w:rsid w:val="00046DDE"/>
    <w:rsid w:val="00047EB9"/>
    <w:rsid w:val="00060A74"/>
    <w:rsid w:val="00067110"/>
    <w:rsid w:val="0009298A"/>
    <w:rsid w:val="000A2808"/>
    <w:rsid w:val="000A3BAC"/>
    <w:rsid w:val="000C10EB"/>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77BBA"/>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4BE6"/>
    <w:rsid w:val="00377D8F"/>
    <w:rsid w:val="00383679"/>
    <w:rsid w:val="003944DA"/>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23A1"/>
    <w:rsid w:val="00463E9B"/>
    <w:rsid w:val="00467414"/>
    <w:rsid w:val="00473F30"/>
    <w:rsid w:val="0048591A"/>
    <w:rsid w:val="00486D86"/>
    <w:rsid w:val="0048721A"/>
    <w:rsid w:val="004A0BD5"/>
    <w:rsid w:val="004A1BBF"/>
    <w:rsid w:val="004A73E5"/>
    <w:rsid w:val="004C19BF"/>
    <w:rsid w:val="004C4D11"/>
    <w:rsid w:val="004D1757"/>
    <w:rsid w:val="004D7640"/>
    <w:rsid w:val="004E1A9B"/>
    <w:rsid w:val="00500AB6"/>
    <w:rsid w:val="005155FB"/>
    <w:rsid w:val="00523907"/>
    <w:rsid w:val="00535B05"/>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190F"/>
    <w:rsid w:val="00814B5B"/>
    <w:rsid w:val="00836F34"/>
    <w:rsid w:val="00843E73"/>
    <w:rsid w:val="00844EBF"/>
    <w:rsid w:val="00854F61"/>
    <w:rsid w:val="00864202"/>
    <w:rsid w:val="00873B59"/>
    <w:rsid w:val="0087701F"/>
    <w:rsid w:val="00880226"/>
    <w:rsid w:val="0089283D"/>
    <w:rsid w:val="008A0ADC"/>
    <w:rsid w:val="008A1BAB"/>
    <w:rsid w:val="008A20E3"/>
    <w:rsid w:val="008B38B7"/>
    <w:rsid w:val="008B458E"/>
    <w:rsid w:val="008C4D4A"/>
    <w:rsid w:val="008E11AE"/>
    <w:rsid w:val="008E1708"/>
    <w:rsid w:val="008E4844"/>
    <w:rsid w:val="00904492"/>
    <w:rsid w:val="00904DFB"/>
    <w:rsid w:val="0091457B"/>
    <w:rsid w:val="00923763"/>
    <w:rsid w:val="00930ED6"/>
    <w:rsid w:val="0093293F"/>
    <w:rsid w:val="00933105"/>
    <w:rsid w:val="009436B3"/>
    <w:rsid w:val="009474EF"/>
    <w:rsid w:val="00962626"/>
    <w:rsid w:val="009767DD"/>
    <w:rsid w:val="00977AF2"/>
    <w:rsid w:val="00985887"/>
    <w:rsid w:val="00985FC5"/>
    <w:rsid w:val="00993BDD"/>
    <w:rsid w:val="009A56DA"/>
    <w:rsid w:val="009A6DFB"/>
    <w:rsid w:val="009B6EC0"/>
    <w:rsid w:val="009C7FAF"/>
    <w:rsid w:val="009D4199"/>
    <w:rsid w:val="009E5E6A"/>
    <w:rsid w:val="009F0DD5"/>
    <w:rsid w:val="009F1B95"/>
    <w:rsid w:val="009F6C05"/>
    <w:rsid w:val="00A13CB6"/>
    <w:rsid w:val="00A1413C"/>
    <w:rsid w:val="00A14A1A"/>
    <w:rsid w:val="00A22CDD"/>
    <w:rsid w:val="00A25AEE"/>
    <w:rsid w:val="00A31EB1"/>
    <w:rsid w:val="00A33AEA"/>
    <w:rsid w:val="00A461CD"/>
    <w:rsid w:val="00A469C5"/>
    <w:rsid w:val="00A5317D"/>
    <w:rsid w:val="00A6284E"/>
    <w:rsid w:val="00A63E81"/>
    <w:rsid w:val="00A8775A"/>
    <w:rsid w:val="00A972E7"/>
    <w:rsid w:val="00AA5998"/>
    <w:rsid w:val="00AB07E7"/>
    <w:rsid w:val="00AD1BA8"/>
    <w:rsid w:val="00AD54C4"/>
    <w:rsid w:val="00B02A29"/>
    <w:rsid w:val="00B03522"/>
    <w:rsid w:val="00B04AD6"/>
    <w:rsid w:val="00B14CAA"/>
    <w:rsid w:val="00B257CE"/>
    <w:rsid w:val="00B4746C"/>
    <w:rsid w:val="00B65354"/>
    <w:rsid w:val="00B71A0E"/>
    <w:rsid w:val="00B81765"/>
    <w:rsid w:val="00B832F5"/>
    <w:rsid w:val="00B9254C"/>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8740C"/>
    <w:rsid w:val="00C9333C"/>
    <w:rsid w:val="00C94D46"/>
    <w:rsid w:val="00CA443A"/>
    <w:rsid w:val="00CB2461"/>
    <w:rsid w:val="00CB351B"/>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5487"/>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3A59"/>
    <w:rsid w:val="00F45475"/>
    <w:rsid w:val="00F64E72"/>
    <w:rsid w:val="00F70C7D"/>
    <w:rsid w:val="00F9272E"/>
    <w:rsid w:val="00F97743"/>
    <w:rsid w:val="00FA6DAF"/>
    <w:rsid w:val="00FC334B"/>
    <w:rsid w:val="00FC6884"/>
    <w:rsid w:val="00FE62F3"/>
    <w:rsid w:val="00FF71D2"/>
    <w:rsid w:val="02084250"/>
    <w:rsid w:val="0C906210"/>
    <w:rsid w:val="116C28F7"/>
    <w:rsid w:val="15175270"/>
    <w:rsid w:val="1B2418A5"/>
    <w:rsid w:val="1B8848E7"/>
    <w:rsid w:val="1FBFC074"/>
    <w:rsid w:val="214404DA"/>
    <w:rsid w:val="22AC114B"/>
    <w:rsid w:val="2CDC2BCF"/>
    <w:rsid w:val="2DEA7DD7"/>
    <w:rsid w:val="2EB63EF5"/>
    <w:rsid w:val="36FB9E1F"/>
    <w:rsid w:val="37B95B30"/>
    <w:rsid w:val="39266E53"/>
    <w:rsid w:val="3BFA3B96"/>
    <w:rsid w:val="3C025A83"/>
    <w:rsid w:val="3CEF3472"/>
    <w:rsid w:val="3EFF16E9"/>
    <w:rsid w:val="47A6632A"/>
    <w:rsid w:val="50002C9D"/>
    <w:rsid w:val="522B1438"/>
    <w:rsid w:val="546B3E69"/>
    <w:rsid w:val="55F66018"/>
    <w:rsid w:val="593A758F"/>
    <w:rsid w:val="5FEC48FC"/>
    <w:rsid w:val="657B4682"/>
    <w:rsid w:val="66D92055"/>
    <w:rsid w:val="6B151F46"/>
    <w:rsid w:val="6D7B106D"/>
    <w:rsid w:val="74D6302D"/>
    <w:rsid w:val="76E618C8"/>
    <w:rsid w:val="77CF73AC"/>
    <w:rsid w:val="78774B27"/>
    <w:rsid w:val="78FF0116"/>
    <w:rsid w:val="7B4C229B"/>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_Style 6"/>
    <w:basedOn w:val="1"/>
    <w:qFormat/>
    <w:uiPriority w:val="34"/>
    <w:pPr>
      <w:ind w:firstLine="420" w:firstLineChars="200"/>
    </w:pPr>
    <w:rPr>
      <w:rFonts w:ascii="Calibri" w:hAnsi="Calibri"/>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Char Char Char1"/>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 w:type="character" w:customStyle="1" w:styleId="14">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DB71-766A-45D7-B3B2-4C13E0E227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2582</Words>
  <Characters>2725</Characters>
  <Lines>8</Lines>
  <Paragraphs>2</Paragraphs>
  <TotalTime>0</TotalTime>
  <ScaleCrop>false</ScaleCrop>
  <LinksUpToDate>false</LinksUpToDate>
  <CharactersWithSpaces>2790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2023-11-17T06:12:00Z</dcterms:created>
  <dc:creator>微软用户</dc:creator>
  <cp:lastModifiedBy>QXY</cp:lastModifiedBy>
  <cp:lastPrinted>2014-02-21T05:34:00Z</cp:lastPrinted>
  <dcterms:modified xsi:type="dcterms:W3CDTF">2025-11-07T08:51:42Z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9A29AB516F634742AD52860B0075D527_13</vt:lpwstr>
  </property>
  <property fmtid="{D5CDD505-2E9C-101B-9397-08002B2CF9AE}" pid="4" name="KSOTemplateDocerSaveRecord">
    <vt:lpwstr>eyJoZGlkIjoiMjM2MzVjZTc3Y2E3NDA2ODM5M2IxZDI3NjE5ZmMxZjQiLCJ1c2VySWQiOiIxMjM4ODMxMDk0In0=</vt:lpwstr>
  </property>
</Properties>
</file>