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6A" w:rsidRDefault="001B45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证券代码：</w:t>
      </w:r>
      <w:r>
        <w:rPr>
          <w:rFonts w:hint="eastAsia"/>
          <w:sz w:val="24"/>
          <w:szCs w:val="24"/>
        </w:rPr>
        <w:t xml:space="preserve">601375                                  </w:t>
      </w:r>
      <w:r>
        <w:rPr>
          <w:rFonts w:hint="eastAsia"/>
          <w:sz w:val="24"/>
          <w:szCs w:val="24"/>
        </w:rPr>
        <w:t>证券简称：中原证券</w:t>
      </w:r>
    </w:p>
    <w:p w:rsidR="00AB276A" w:rsidRDefault="00AB276A">
      <w:pPr>
        <w:jc w:val="left"/>
        <w:rPr>
          <w:sz w:val="24"/>
          <w:szCs w:val="24"/>
        </w:rPr>
      </w:pPr>
    </w:p>
    <w:p w:rsidR="00AB276A" w:rsidRDefault="001B4589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中原证券股份有限公司</w:t>
      </w:r>
      <w:r>
        <w:rPr>
          <w:rFonts w:ascii="黑体" w:eastAsia="黑体" w:hAnsi="黑体" w:hint="eastAsia"/>
          <w:bCs/>
          <w:sz w:val="36"/>
          <w:szCs w:val="36"/>
        </w:rPr>
        <w:t>接待机构调研记录</w:t>
      </w:r>
    </w:p>
    <w:p w:rsidR="00AB276A" w:rsidRDefault="001B4589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                 </w:t>
      </w:r>
    </w:p>
    <w:p w:rsidR="00AB276A" w:rsidRDefault="001B4589">
      <w:pPr>
        <w:spacing w:line="360" w:lineRule="auto"/>
        <w:ind w:rightChars="-162" w:right="-340"/>
        <w:jc w:val="center"/>
        <w:rPr>
          <w:rFonts w:ascii="黑体" w:eastAsia="黑体" w:hAnsi="黑体"/>
          <w:sz w:val="11"/>
          <w:szCs w:val="1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                 编号：</w:t>
      </w:r>
    </w:p>
    <w:tbl>
      <w:tblPr>
        <w:tblStyle w:val="a6"/>
        <w:tblW w:w="5109" w:type="pct"/>
        <w:jc w:val="center"/>
        <w:tblLook w:val="04A0" w:firstRow="1" w:lastRow="0" w:firstColumn="1" w:lastColumn="0" w:noHBand="0" w:noVBand="1"/>
      </w:tblPr>
      <w:tblGrid>
        <w:gridCol w:w="2369"/>
        <w:gridCol w:w="6108"/>
      </w:tblGrid>
      <w:tr w:rsidR="00AB276A">
        <w:trPr>
          <w:jc w:val="center"/>
        </w:trPr>
        <w:tc>
          <w:tcPr>
            <w:tcW w:w="2422" w:type="dxa"/>
            <w:vAlign w:val="center"/>
          </w:tcPr>
          <w:p w:rsidR="00AB276A" w:rsidRDefault="001B4589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调研形式</w:t>
            </w:r>
          </w:p>
        </w:tc>
        <w:tc>
          <w:tcPr>
            <w:tcW w:w="6287" w:type="dxa"/>
          </w:tcPr>
          <w:p w:rsidR="00AB276A" w:rsidRDefault="001B4589">
            <w:pPr>
              <w:snapToGrid w:val="0"/>
              <w:spacing w:before="100" w:beforeAutospacing="1" w:after="100" w:afterAutospacing="1"/>
              <w:ind w:left="-60"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eastAsia="宋体" w:hAnsi="宋体" w:cs="宋体"/>
                <w:kern w:val="0"/>
                <w:szCs w:val="21"/>
              </w:rPr>
              <w:t>公司现场接待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电话接待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公开说明会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定期报告说明会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重要公告说明会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7175" cy="209550"/>
                  <wp:effectExtent l="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/>
                <w:kern w:val="0"/>
                <w:szCs w:val="21"/>
              </w:rPr>
              <w:t>其它场所接待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</w:t>
            </w:r>
          </w:p>
        </w:tc>
      </w:tr>
      <w:tr w:rsidR="00AB276A">
        <w:trPr>
          <w:jc w:val="center"/>
        </w:trPr>
        <w:tc>
          <w:tcPr>
            <w:tcW w:w="2422" w:type="dxa"/>
          </w:tcPr>
          <w:p w:rsidR="00AB276A" w:rsidRDefault="001B4589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来访人员姓名及其所在单位</w:t>
            </w:r>
          </w:p>
        </w:tc>
        <w:tc>
          <w:tcPr>
            <w:tcW w:w="6287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常州投资集团</w:t>
            </w:r>
            <w:r>
              <w:rPr>
                <w:rFonts w:hint="eastAsia"/>
                <w:sz w:val="28"/>
                <w:szCs w:val="28"/>
              </w:rPr>
              <w:t>投资管理二部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汤</w:t>
            </w:r>
            <w:proofErr w:type="gramStart"/>
            <w:r>
              <w:rPr>
                <w:rFonts w:hint="eastAsia"/>
                <w:sz w:val="28"/>
                <w:szCs w:val="28"/>
              </w:rPr>
              <w:t>浩</w:t>
            </w:r>
            <w:proofErr w:type="gramEnd"/>
          </w:p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常州投资集团</w:t>
            </w:r>
            <w:r>
              <w:rPr>
                <w:rFonts w:hint="eastAsia"/>
                <w:sz w:val="28"/>
                <w:szCs w:val="28"/>
              </w:rPr>
              <w:t>投资管理二部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李元杰</w:t>
            </w:r>
          </w:p>
        </w:tc>
      </w:tr>
      <w:tr w:rsidR="00AB276A">
        <w:trPr>
          <w:jc w:val="center"/>
        </w:trPr>
        <w:tc>
          <w:tcPr>
            <w:tcW w:w="2422" w:type="dxa"/>
          </w:tcPr>
          <w:p w:rsidR="00AB276A" w:rsidRDefault="001B4589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日期、时间</w:t>
            </w:r>
          </w:p>
        </w:tc>
        <w:tc>
          <w:tcPr>
            <w:tcW w:w="6287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276A">
        <w:trPr>
          <w:jc w:val="center"/>
        </w:trPr>
        <w:tc>
          <w:tcPr>
            <w:tcW w:w="2422" w:type="dxa"/>
          </w:tcPr>
          <w:p w:rsidR="00AB276A" w:rsidRDefault="001B4589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来访地址</w:t>
            </w:r>
          </w:p>
        </w:tc>
        <w:tc>
          <w:tcPr>
            <w:tcW w:w="6287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</w:t>
            </w:r>
            <w:r>
              <w:rPr>
                <w:sz w:val="28"/>
                <w:szCs w:val="28"/>
              </w:rPr>
              <w:t>郑州市</w:t>
            </w:r>
            <w:proofErr w:type="gramStart"/>
            <w:r>
              <w:rPr>
                <w:sz w:val="28"/>
                <w:szCs w:val="28"/>
              </w:rPr>
              <w:t>中原广</w:t>
            </w:r>
            <w:proofErr w:type="gramEnd"/>
            <w:r>
              <w:rPr>
                <w:sz w:val="28"/>
                <w:szCs w:val="28"/>
              </w:rPr>
              <w:t>发大厦</w:t>
            </w:r>
          </w:p>
        </w:tc>
      </w:tr>
      <w:tr w:rsidR="00AB276A">
        <w:trPr>
          <w:jc w:val="center"/>
        </w:trPr>
        <w:tc>
          <w:tcPr>
            <w:tcW w:w="2422" w:type="dxa"/>
          </w:tcPr>
          <w:p w:rsidR="00AB276A" w:rsidRDefault="001B4589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接待人员姓名及其职务</w:t>
            </w:r>
          </w:p>
        </w:tc>
        <w:tc>
          <w:tcPr>
            <w:tcW w:w="6287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财务总监、董事会秘书、执行委员会委员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郭良勇</w:t>
            </w:r>
          </w:p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办公室（董监事会办公室）主任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栾</w:t>
            </w:r>
            <w:proofErr w:type="gramEnd"/>
            <w:r>
              <w:rPr>
                <w:rFonts w:hint="eastAsia"/>
                <w:sz w:val="28"/>
                <w:szCs w:val="28"/>
              </w:rPr>
              <w:t>小龙</w:t>
            </w:r>
          </w:p>
        </w:tc>
      </w:tr>
      <w:tr w:rsidR="00AB276A">
        <w:trPr>
          <w:jc w:val="center"/>
        </w:trPr>
        <w:tc>
          <w:tcPr>
            <w:tcW w:w="8709" w:type="dxa"/>
            <w:gridSpan w:val="2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主要内容：</w:t>
            </w:r>
          </w:p>
          <w:p w:rsidR="00AB276A" w:rsidRDefault="001B4589">
            <w:pPr>
              <w:pStyle w:val="a7"/>
              <w:snapToGrid w:val="0"/>
              <w:spacing w:line="360" w:lineRule="auto"/>
              <w:ind w:firstLine="482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问题1：</w:t>
            </w:r>
            <w:r w:rsidR="00331E19" w:rsidRPr="00331E19">
              <w:rPr>
                <w:rFonts w:ascii="宋体" w:hAnsi="宋体" w:hint="eastAsia"/>
                <w:b/>
                <w:sz w:val="24"/>
                <w:szCs w:val="21"/>
              </w:rPr>
              <w:t>请介绍下公司上半年在传统经纪业务、投行业务和自营业务的情况。</w:t>
            </w:r>
          </w:p>
          <w:p w:rsidR="00331E19" w:rsidRPr="00331E19" w:rsidRDefault="001B4589" w:rsidP="00331E19">
            <w:pPr>
              <w:pStyle w:val="a7"/>
              <w:snapToGrid w:val="0"/>
              <w:spacing w:line="360" w:lineRule="auto"/>
              <w:ind w:firstLine="482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公司回复：</w:t>
            </w:r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在财富管理业务方面，公司以服务居民资产保值增值为目标，以“精准分层、数智赋能、技术赋能、生态协同”为驱动，通过线上平台集约化运营与线下网点专业化服务深度融合，提升对大众客户、富裕客户、私行客户的一站式服务能力。一是提升服务理念，聚焦“以客户为中心”。公司持续围绕三大客群，通过强化资产配置能力和完善投资顾问服务体系，加强投资者教育与风险揭示，引导客户科学理财、长期投资，不断提升客户体验。二是细化客户分层，深化精准服务策略。系统推进“财富中原”服务体系升级，在基础分层（大众、富裕、私行）基础上，依托智能化工具提升客户洞察与响应效率，落地覆盖全生命周期的130+项策略矩阵。三是完善产品供给，</w:t>
            </w:r>
            <w:proofErr w:type="gramStart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构建多元</w:t>
            </w:r>
            <w:proofErr w:type="gramEnd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产品矩阵。公司持续丰富现金、固收、权益、另类等全品类产品线，重点引入ETF、私募信托、</w:t>
            </w:r>
            <w:proofErr w:type="gramStart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资管等覆盖高</w:t>
            </w:r>
            <w:proofErr w:type="gramEnd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净值客户需求的产品，满足各层级客户需求。四是强化一体运营，线上线下协同发力。线上依托互联网分公司，通过PC端、移动端、Web端（官网、</w:t>
            </w:r>
            <w:proofErr w:type="gramStart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财升网</w:t>
            </w:r>
            <w:proofErr w:type="gramEnd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）及</w:t>
            </w:r>
            <w:proofErr w:type="gramStart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官方微信的</w:t>
            </w:r>
            <w:proofErr w:type="gramEnd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“三端</w:t>
            </w:r>
            <w:proofErr w:type="gramStart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一</w:t>
            </w:r>
            <w:proofErr w:type="gramEnd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微”平台，强化智能交易、实时查询、组合诊断等工具功能，为客户提供更便捷高效的自助化服务。2025年上半年</w:t>
            </w:r>
            <w:proofErr w:type="gramStart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财升宝APP月活超</w:t>
            </w:r>
            <w:proofErr w:type="gramEnd"/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130万，综合排名第22名，稳居行业第一方阵；线下持续发挥网点优势，</w:t>
            </w:r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lastRenderedPageBreak/>
              <w:t>加强客户开发与客户服务并重，重点提升高净值客户服务，实现整体运营的高效性和客户体验的统一性。</w:t>
            </w:r>
          </w:p>
          <w:p w:rsidR="00331E19" w:rsidRPr="00331E19" w:rsidRDefault="00331E19" w:rsidP="00331E19">
            <w:pPr>
              <w:pStyle w:val="a7"/>
              <w:snapToGrid w:val="0"/>
              <w:spacing w:line="360" w:lineRule="auto"/>
              <w:ind w:firstLine="480"/>
              <w:rPr>
                <w:rFonts w:ascii="宋体" w:hAnsi="宋体"/>
                <w:bCs/>
                <w:sz w:val="24"/>
                <w:szCs w:val="21"/>
              </w:rPr>
            </w:pPr>
            <w:r w:rsidRPr="00331E19">
              <w:rPr>
                <w:rFonts w:ascii="宋体" w:hAnsi="宋体" w:hint="eastAsia"/>
                <w:bCs/>
                <w:sz w:val="24"/>
                <w:szCs w:val="21"/>
              </w:rPr>
              <w:t>在投资银行业务方面，公司紧密围绕“河南资本市场战略性载体”功能定位，强化服务实体经济职能。期间，公司联合河南日报报业集团主办的“2025并购重组高质量发展大会”，为公司并购重组业务开拓了新的来源；强化“五篇大文章”的服务能力，持续梳理修订制度，完善体系建设；持续跟踪项目进展推动项目落地，积极探索资产证券化等创新业务，深化内部业务协同，积极支持省管国企等核心客户“走出去”战略；坚持以项目为抓手的同时，加强内控管理，严控质量风险，加大培训力度，提升专业水平。公司上半年完成银行间及ABS分销类项目4期，分销金额累计人民币2.44亿元；完成新三板挂牌1家。</w:t>
            </w:r>
          </w:p>
          <w:p w:rsidR="00AB276A" w:rsidRDefault="00331E19" w:rsidP="00331E19">
            <w:pPr>
              <w:pStyle w:val="a7"/>
              <w:snapToGrid w:val="0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  <w:r w:rsidRPr="00331E19">
              <w:rPr>
                <w:rFonts w:ascii="宋体" w:hAnsi="宋体" w:hint="eastAsia"/>
                <w:bCs/>
                <w:sz w:val="24"/>
                <w:szCs w:val="21"/>
              </w:rPr>
              <w:t>在自营业务方面，各项工作稳步推进并取得积极成效。权益投资业务运用风险平价理论，构建大类资产配置组合，谋求长期稳健收益；优化投资业务结构，吸收新人才、借助外部研究支持，持续提升投</w:t>
            </w:r>
            <w:proofErr w:type="gramStart"/>
            <w:r w:rsidRPr="00331E19">
              <w:rPr>
                <w:rFonts w:ascii="宋体" w:hAnsi="宋体" w:hint="eastAsia"/>
                <w:bCs/>
                <w:sz w:val="24"/>
                <w:szCs w:val="21"/>
              </w:rPr>
              <w:t>研</w:t>
            </w:r>
            <w:proofErr w:type="gramEnd"/>
            <w:r w:rsidRPr="00331E19">
              <w:rPr>
                <w:rFonts w:ascii="宋体" w:hAnsi="宋体" w:hint="eastAsia"/>
                <w:bCs/>
                <w:sz w:val="24"/>
                <w:szCs w:val="21"/>
              </w:rPr>
              <w:t>实力；开展对投资经理的业绩归因分析，优化投资流程与策略。固定收益投资业务秉持审慎原则，适时调控</w:t>
            </w:r>
            <w:proofErr w:type="gramStart"/>
            <w:r w:rsidRPr="00331E19">
              <w:rPr>
                <w:rFonts w:ascii="宋体" w:hAnsi="宋体" w:hint="eastAsia"/>
                <w:bCs/>
                <w:sz w:val="24"/>
                <w:szCs w:val="21"/>
              </w:rPr>
              <w:t>仓位</w:t>
            </w:r>
            <w:proofErr w:type="gramEnd"/>
            <w:r w:rsidRPr="00331E19">
              <w:rPr>
                <w:rFonts w:ascii="宋体" w:hAnsi="宋体" w:hint="eastAsia"/>
                <w:bCs/>
                <w:sz w:val="24"/>
                <w:szCs w:val="21"/>
              </w:rPr>
              <w:t>，有效控制组合回撤；深入各类策略研究，精准把握时机，在债券阶段性价值较高时加大配置；坚持资产科学配置，优化组合结构，确保资产高流动性，严格监控并合理控制自营杠杆指标，坚守收益与风险平衡原则，保障业务稳健运行。</w:t>
            </w:r>
          </w:p>
          <w:p w:rsidR="00AB276A" w:rsidRDefault="00AB276A">
            <w:pPr>
              <w:pStyle w:val="a7"/>
              <w:snapToGrid w:val="0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</w:p>
          <w:p w:rsidR="00AB276A" w:rsidRDefault="001B4589">
            <w:pPr>
              <w:pStyle w:val="a7"/>
              <w:snapToGrid w:val="0"/>
              <w:spacing w:line="360" w:lineRule="auto"/>
              <w:ind w:firstLine="482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问题</w:t>
            </w:r>
            <w:r>
              <w:rPr>
                <w:rFonts w:ascii="宋体" w:hAnsi="宋体"/>
                <w:b/>
                <w:sz w:val="24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：</w:t>
            </w:r>
            <w:r w:rsidR="00331E19" w:rsidRPr="00331E19">
              <w:rPr>
                <w:rFonts w:ascii="宋体" w:hAnsi="宋体" w:hint="eastAsia"/>
                <w:b/>
                <w:sz w:val="24"/>
                <w:szCs w:val="21"/>
              </w:rPr>
              <w:t>请介绍下公司如何降本增效、未来是否加大财富管理业务投入和投行业务如何进行差异化竞争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。</w:t>
            </w:r>
          </w:p>
          <w:p w:rsidR="00331E19" w:rsidRPr="00331E19" w:rsidRDefault="001B4589" w:rsidP="00331E19">
            <w:pPr>
              <w:pStyle w:val="a7"/>
              <w:snapToGrid w:val="0"/>
              <w:spacing w:line="360" w:lineRule="auto"/>
              <w:ind w:firstLine="482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宋体" w:hAnsi="宋体"/>
                <w:b/>
                <w:sz w:val="24"/>
                <w:szCs w:val="21"/>
              </w:rPr>
              <w:t>公司回复：</w:t>
            </w:r>
            <w:r w:rsidR="00331E19" w:rsidRPr="00331E19">
              <w:rPr>
                <w:rFonts w:ascii="宋体" w:hAnsi="宋体" w:hint="eastAsia"/>
                <w:bCs/>
                <w:sz w:val="24"/>
                <w:szCs w:val="21"/>
              </w:rPr>
              <w:t>在降本增效方面，</w:t>
            </w:r>
            <w:r w:rsidR="00F20EDA" w:rsidRPr="00F20EDA">
              <w:rPr>
                <w:rFonts w:ascii="宋体" w:hAnsi="宋体" w:hint="eastAsia"/>
                <w:bCs/>
                <w:sz w:val="24"/>
                <w:szCs w:val="21"/>
              </w:rPr>
              <w:t>公司自2023年启动降本增效工作以来，已在组织架构优化、人力资源整合、资产利用效率提升、低效单元撤并等关键领域取得显著成效，全员成本效益意识持续增强，“降本、提质、增效”的共识与工作氛围已全面形成。未来，公司将从三方面深化降本增效工作：一是战略引领优化资源配置，聚焦高附加值、高增长潜力业务，实现资源利用效率最大化；二是精准攻坚核心任务，重点推进人均效能提升、低效网点整合及信息系统投入精细化管理，达成成本控制与效益增长双重突破；三是</w:t>
            </w:r>
            <w:proofErr w:type="gramStart"/>
            <w:r w:rsidR="00F20EDA" w:rsidRPr="00F20EDA">
              <w:rPr>
                <w:rFonts w:ascii="宋体" w:hAnsi="宋体" w:hint="eastAsia"/>
                <w:bCs/>
                <w:sz w:val="24"/>
                <w:szCs w:val="21"/>
              </w:rPr>
              <w:t>精益化全链条</w:t>
            </w:r>
            <w:proofErr w:type="gramEnd"/>
            <w:r w:rsidR="00F20EDA" w:rsidRPr="00F20EDA">
              <w:rPr>
                <w:rFonts w:ascii="宋体" w:hAnsi="宋体" w:hint="eastAsia"/>
                <w:bCs/>
                <w:sz w:val="24"/>
                <w:szCs w:val="21"/>
              </w:rPr>
              <w:t>管控，通过优化激励机制、盘活低效资产、强化成本管控等举措，持续提升成本管理效能。</w:t>
            </w:r>
          </w:p>
          <w:p w:rsidR="00331E19" w:rsidRPr="00331E19" w:rsidRDefault="00FA459E" w:rsidP="00331E19">
            <w:pPr>
              <w:pStyle w:val="a7"/>
              <w:snapToGrid w:val="0"/>
              <w:spacing w:line="360" w:lineRule="auto"/>
              <w:ind w:firstLine="480"/>
              <w:rPr>
                <w:rFonts w:ascii="宋体" w:hAnsi="宋体"/>
                <w:bCs/>
                <w:sz w:val="24"/>
                <w:szCs w:val="21"/>
              </w:rPr>
            </w:pPr>
            <w:r w:rsidRPr="00FA459E">
              <w:rPr>
                <w:rFonts w:ascii="宋体" w:hAnsi="宋体" w:hint="eastAsia"/>
                <w:bCs/>
                <w:sz w:val="24"/>
                <w:szCs w:val="21"/>
              </w:rPr>
              <w:t>在财富管理业务投入方面，公司将加大高净值客户财富管理业务投入，以</w:t>
            </w:r>
            <w:r w:rsidRPr="00FA459E">
              <w:rPr>
                <w:rFonts w:ascii="宋体" w:hAnsi="宋体" w:hint="eastAsia"/>
                <w:bCs/>
                <w:sz w:val="24"/>
                <w:szCs w:val="21"/>
              </w:rPr>
              <w:lastRenderedPageBreak/>
              <w:t>“精准识客、产品适配、技术赋能、资源保障”四大核心方向，加大资源投入与推进力度，具体举措如下：一是精准识客，深化高净值客户的挖掘与激活：通过多渠道宣传推广，强化高净值客群的开发与精细化运营，稳步实现高净值产品的销售转化。二是丰富核心产品线：持续丰富完善私募、信托、</w:t>
            </w:r>
            <w:proofErr w:type="gramStart"/>
            <w:r w:rsidRPr="00FA459E">
              <w:rPr>
                <w:rFonts w:ascii="宋体" w:hAnsi="宋体" w:hint="eastAsia"/>
                <w:bCs/>
                <w:sz w:val="24"/>
                <w:szCs w:val="21"/>
              </w:rPr>
              <w:t>资管类</w:t>
            </w:r>
            <w:proofErr w:type="gramEnd"/>
            <w:r w:rsidRPr="00FA459E">
              <w:rPr>
                <w:rFonts w:ascii="宋体" w:hAnsi="宋体" w:hint="eastAsia"/>
                <w:bCs/>
                <w:sz w:val="24"/>
                <w:szCs w:val="21"/>
              </w:rPr>
              <w:t>产品线，构建覆盖多元资产类别、不同风险等级及全周期</w:t>
            </w:r>
            <w:bookmarkStart w:id="0" w:name="_GoBack"/>
            <w:bookmarkEnd w:id="0"/>
            <w:r w:rsidRPr="00FA459E">
              <w:rPr>
                <w:rFonts w:ascii="宋体" w:hAnsi="宋体" w:hint="eastAsia"/>
                <w:bCs/>
                <w:sz w:val="24"/>
                <w:szCs w:val="21"/>
              </w:rPr>
              <w:t>投资需求的产品体系，满足高净值客户差异化、个性化的财富管理需求。三是创新布局新业务：积极推动T0量化交易业务落地，完成相关技术准备与系统搭建，同步推进产品运营、专业培训及路</w:t>
            </w:r>
            <w:proofErr w:type="gramStart"/>
            <w:r w:rsidRPr="00FA459E">
              <w:rPr>
                <w:rFonts w:ascii="宋体" w:hAnsi="宋体" w:hint="eastAsia"/>
                <w:bCs/>
                <w:sz w:val="24"/>
                <w:szCs w:val="21"/>
              </w:rPr>
              <w:t>演推广</w:t>
            </w:r>
            <w:proofErr w:type="gramEnd"/>
            <w:r w:rsidRPr="00FA459E">
              <w:rPr>
                <w:rFonts w:ascii="宋体" w:hAnsi="宋体" w:hint="eastAsia"/>
                <w:bCs/>
                <w:sz w:val="24"/>
                <w:szCs w:val="21"/>
              </w:rPr>
              <w:t>等，不断增强对高净值客户的吸引力。四是夯实资源保障：在人才团队、技术支持、渠道拓展、营销推广等方面优化资源配置，为高净值客户财富管理业务的全面拓展提供坚实支撑。</w:t>
            </w:r>
          </w:p>
          <w:p w:rsidR="00AB276A" w:rsidRDefault="00331E19" w:rsidP="00331E19">
            <w:pPr>
              <w:pStyle w:val="a7"/>
              <w:snapToGrid w:val="0"/>
              <w:spacing w:line="360" w:lineRule="auto"/>
              <w:ind w:firstLine="480"/>
              <w:rPr>
                <w:rFonts w:ascii="宋体" w:hAnsi="宋体"/>
                <w:sz w:val="24"/>
                <w:szCs w:val="21"/>
              </w:rPr>
            </w:pPr>
            <w:r w:rsidRPr="00331E19">
              <w:rPr>
                <w:rFonts w:ascii="宋体" w:hAnsi="宋体" w:hint="eastAsia"/>
                <w:bCs/>
                <w:sz w:val="24"/>
                <w:szCs w:val="21"/>
              </w:rPr>
              <w:t>在投行业务差异化竞争方面，公司认为河南本土市场存差异化机遇，尽管省内虽科技型企业储备不及东部，但在环保、光电子、储能等领域形成特色产业集群，部分省属国企资本运作需求明确，可抓住机遇为区域券商提供稳定基础盘。同时，产业升级催生多元需求，部分产业集群企业从“单一融资”向“产业链整合+资本运作”转型，需并购标的筛选、绿色融资方案设计等综合服务，为投行从“项目承做”向“产业赋能”转型提供契机。2025年下半年，公司投资银行业务将认真落实“河南资本市场战略性载体”功能定位，坚持以重点客户和重点项目为抓手，聚焦北交所IPO等重点储备项目有序申报；深化投行业务转型，加快推进机构客户服务体系及配套制度、系统建设，一体化推进投行业务转型，丰富投行业务模式；聚焦重点业务群体，围绕金融“五篇大文章”巩固常规业务，大力发展并购重组业务，持续探索收益权ABS、CMBS等创新业务，同时借助地方政府融资平台向综合型的产业化平台转型的机会，深入挖掘财务顾问等业务机会。</w:t>
            </w:r>
          </w:p>
        </w:tc>
      </w:tr>
      <w:tr w:rsidR="00AB276A">
        <w:trPr>
          <w:jc w:val="center"/>
        </w:trPr>
        <w:tc>
          <w:tcPr>
            <w:tcW w:w="2422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附件清单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6287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AB276A">
        <w:trPr>
          <w:jc w:val="center"/>
        </w:trPr>
        <w:tc>
          <w:tcPr>
            <w:tcW w:w="2422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6287" w:type="dxa"/>
          </w:tcPr>
          <w:p w:rsidR="00AB276A" w:rsidRDefault="001B4589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B276A" w:rsidRDefault="00AB276A">
      <w:pPr>
        <w:jc w:val="center"/>
        <w:rPr>
          <w:rFonts w:ascii="黑体" w:eastAsia="黑体" w:hAnsi="黑体"/>
          <w:szCs w:val="21"/>
        </w:rPr>
      </w:pPr>
    </w:p>
    <w:p w:rsidR="00AB276A" w:rsidRDefault="001B4589">
      <w:r>
        <w:rPr>
          <w:rFonts w:hint="eastAsia"/>
        </w:rPr>
        <w:t>注：公司严格遵守信息披露相关规则与投资者进行交流，如涉及公司战略规划等意向性目标，不能视为公司或管理层对公司业绩的保证或承诺，敬请广大投资者注意投资风险。</w:t>
      </w:r>
    </w:p>
    <w:p w:rsidR="00AB276A" w:rsidRPr="009B2655" w:rsidRDefault="00AB276A" w:rsidP="009B2655">
      <w:pPr>
        <w:widowControl/>
        <w:jc w:val="left"/>
      </w:pPr>
    </w:p>
    <w:sectPr w:rsidR="00AB276A" w:rsidRPr="009B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50"/>
    <w:rsid w:val="00011260"/>
    <w:rsid w:val="00015D07"/>
    <w:rsid w:val="000B3250"/>
    <w:rsid w:val="000C2527"/>
    <w:rsid w:val="001461FF"/>
    <w:rsid w:val="001B4589"/>
    <w:rsid w:val="001B51C8"/>
    <w:rsid w:val="002B1590"/>
    <w:rsid w:val="00331E19"/>
    <w:rsid w:val="00354032"/>
    <w:rsid w:val="00355799"/>
    <w:rsid w:val="00370771"/>
    <w:rsid w:val="0037347A"/>
    <w:rsid w:val="003D49C6"/>
    <w:rsid w:val="00404CDF"/>
    <w:rsid w:val="004432FD"/>
    <w:rsid w:val="004575AE"/>
    <w:rsid w:val="00467116"/>
    <w:rsid w:val="004F775B"/>
    <w:rsid w:val="005011C5"/>
    <w:rsid w:val="00512F60"/>
    <w:rsid w:val="00551DDC"/>
    <w:rsid w:val="007872FB"/>
    <w:rsid w:val="007B5F13"/>
    <w:rsid w:val="0081299B"/>
    <w:rsid w:val="008226F0"/>
    <w:rsid w:val="00862411"/>
    <w:rsid w:val="00863E94"/>
    <w:rsid w:val="00884514"/>
    <w:rsid w:val="008B4058"/>
    <w:rsid w:val="008C1ADD"/>
    <w:rsid w:val="008F38AE"/>
    <w:rsid w:val="00904D38"/>
    <w:rsid w:val="0092535D"/>
    <w:rsid w:val="00940982"/>
    <w:rsid w:val="009902FE"/>
    <w:rsid w:val="009B2655"/>
    <w:rsid w:val="009B782E"/>
    <w:rsid w:val="009D0A63"/>
    <w:rsid w:val="009F6FBA"/>
    <w:rsid w:val="00A3139D"/>
    <w:rsid w:val="00A35C21"/>
    <w:rsid w:val="00A57C62"/>
    <w:rsid w:val="00A77A8D"/>
    <w:rsid w:val="00AB276A"/>
    <w:rsid w:val="00AC5A7E"/>
    <w:rsid w:val="00B01E49"/>
    <w:rsid w:val="00B073E3"/>
    <w:rsid w:val="00B47256"/>
    <w:rsid w:val="00B51568"/>
    <w:rsid w:val="00B7732A"/>
    <w:rsid w:val="00B776B0"/>
    <w:rsid w:val="00B86195"/>
    <w:rsid w:val="00BC3BA7"/>
    <w:rsid w:val="00C17DF4"/>
    <w:rsid w:val="00C34A6E"/>
    <w:rsid w:val="00C532EB"/>
    <w:rsid w:val="00D57589"/>
    <w:rsid w:val="00D61810"/>
    <w:rsid w:val="00DA3505"/>
    <w:rsid w:val="00DD79FC"/>
    <w:rsid w:val="00E54CD5"/>
    <w:rsid w:val="00E74200"/>
    <w:rsid w:val="00E97491"/>
    <w:rsid w:val="00ED23B8"/>
    <w:rsid w:val="00F20EDA"/>
    <w:rsid w:val="00F33FFB"/>
    <w:rsid w:val="00F341F7"/>
    <w:rsid w:val="00F47545"/>
    <w:rsid w:val="00F506BF"/>
    <w:rsid w:val="00F7138F"/>
    <w:rsid w:val="00F97515"/>
    <w:rsid w:val="00FA459E"/>
    <w:rsid w:val="0D640670"/>
    <w:rsid w:val="1CB76A5C"/>
    <w:rsid w:val="235B0907"/>
    <w:rsid w:val="466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3AD1B-5AEE-462D-9403-D23B3EAA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414</Words>
  <Characters>2361</Characters>
  <Application>Microsoft Office Word</Application>
  <DocSecurity>0</DocSecurity>
  <Lines>19</Lines>
  <Paragraphs>5</Paragraphs>
  <ScaleCrop>false</ScaleCrop>
  <Company>Microsoft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陈滢</dc:creator>
  <cp:lastModifiedBy>郝亮</cp:lastModifiedBy>
  <cp:revision>27</cp:revision>
  <dcterms:created xsi:type="dcterms:W3CDTF">2023-09-08T07:13:00Z</dcterms:created>
  <dcterms:modified xsi:type="dcterms:W3CDTF">2025-11-03T01:26:00Z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eyJoZGlkIjoiYmFlZTgyNmMyZWVkODJmYTMyNjBhYzczZWMzODFjYTQiLCJ1c2VySWQiOiIyMjUwNzI4OTUifQ==</vt:lpwstr>
  </property>
  <property fmtid="{D5CDD505-2E9C-101B-9397-08002B2CF9AE}" pid="4" name="ICV">
    <vt:lpwstr>FDFC9F04793D4B55A83F2A339D87BE0F_12</vt:lpwstr>
  </property>
</Properties>
</file>