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0D6CE">
      <w:pPr>
        <w:pStyle w:val="2"/>
        <w:rPr>
          <w:sz w:val="20"/>
          <w:szCs w:val="20"/>
          <w:lang w:val="en-US"/>
        </w:rPr>
      </w:pPr>
      <w:r>
        <w:rPr>
          <w:rFonts w:hint="eastAsia"/>
          <w:sz w:val="20"/>
          <w:szCs w:val="20"/>
          <w:lang w:val="en-US"/>
        </w:rPr>
        <w:t xml:space="preserve">证券代码：600783   </w:t>
      </w:r>
      <w:r>
        <w:rPr>
          <w:rFonts w:hint="eastAsia"/>
          <w:sz w:val="21"/>
          <w:szCs w:val="21"/>
          <w:lang w:val="en-US"/>
        </w:rPr>
        <w:t xml:space="preserve">                                      </w:t>
      </w:r>
      <w:r>
        <w:rPr>
          <w:rFonts w:hint="eastAsia"/>
          <w:sz w:val="20"/>
          <w:szCs w:val="20"/>
          <w:lang w:val="en-US"/>
        </w:rPr>
        <w:t>证券简称：鲁信创投</w:t>
      </w:r>
    </w:p>
    <w:p w14:paraId="3C145E17">
      <w:pPr>
        <w:spacing w:line="360" w:lineRule="auto"/>
        <w:jc w:val="center"/>
        <w:rPr>
          <w:rFonts w:ascii="宋体" w:hAnsi="宋体" w:eastAsia="宋体" w:cs="宋体"/>
          <w:b/>
          <w:bCs/>
          <w:sz w:val="44"/>
          <w:szCs w:val="44"/>
        </w:rPr>
      </w:pPr>
    </w:p>
    <w:p w14:paraId="38110F36">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鲁信创业投资集团股份有限公司</w:t>
      </w:r>
    </w:p>
    <w:p w14:paraId="25D19B34">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5ECCD9A6">
      <w:pPr>
        <w:spacing w:before="51" w:after="32"/>
        <w:ind w:right="619"/>
        <w:jc w:val="right"/>
        <w:rPr>
          <w:rFonts w:ascii="宋体" w:hAnsi="宋体" w:eastAsia="宋体" w:cs="宋体"/>
          <w:sz w:val="20"/>
          <w:szCs w:val="20"/>
          <w:lang w:val="en-US"/>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 xml:space="preserve"> -</w:t>
      </w:r>
      <w:r>
        <w:rPr>
          <w:rFonts w:hint="eastAsia" w:ascii="宋体" w:hAnsi="宋体" w:eastAsia="宋体" w:cs="宋体"/>
          <w:sz w:val="20"/>
          <w:szCs w:val="20"/>
          <w:lang w:val="en-US"/>
        </w:rPr>
        <w:t>04</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2D63E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40B1D378">
            <w:pPr>
              <w:pStyle w:val="12"/>
              <w:spacing w:before="7"/>
              <w:rPr>
                <w:rFonts w:ascii="宋体" w:hAnsi="宋体" w:eastAsia="宋体" w:cs="宋体"/>
                <w:b/>
                <w:bCs/>
                <w:sz w:val="20"/>
                <w:szCs w:val="20"/>
              </w:rPr>
            </w:pPr>
          </w:p>
          <w:p w14:paraId="6FF4AC74">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6206EC6B">
            <w:pPr>
              <w:pStyle w:val="12"/>
              <w:spacing w:before="7"/>
              <w:rPr>
                <w:rFonts w:ascii="宋体" w:hAnsi="宋体" w:eastAsia="宋体" w:cs="宋体"/>
                <w:sz w:val="20"/>
                <w:szCs w:val="20"/>
              </w:rPr>
            </w:pPr>
          </w:p>
          <w:p w14:paraId="23609621">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rPr>
                  <w:t>R</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2E78BA67">
            <w:pPr>
              <w:pStyle w:val="12"/>
              <w:spacing w:before="11"/>
              <w:rPr>
                <w:rFonts w:ascii="宋体" w:hAnsi="宋体" w:eastAsia="宋体" w:cs="宋体"/>
                <w:sz w:val="20"/>
                <w:szCs w:val="20"/>
              </w:rPr>
            </w:pPr>
          </w:p>
          <w:p w14:paraId="6073CB83">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0B1CE871">
            <w:pPr>
              <w:pStyle w:val="12"/>
              <w:spacing w:before="8"/>
              <w:rPr>
                <w:rFonts w:ascii="宋体" w:hAnsi="宋体" w:eastAsia="宋体" w:cs="宋体"/>
                <w:sz w:val="20"/>
                <w:szCs w:val="20"/>
              </w:rPr>
            </w:pPr>
          </w:p>
          <w:p w14:paraId="6CD21B08">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368B7E32">
            <w:pPr>
              <w:pStyle w:val="12"/>
              <w:spacing w:before="8"/>
              <w:rPr>
                <w:rFonts w:ascii="宋体" w:hAnsi="宋体" w:eastAsia="宋体" w:cs="宋体"/>
                <w:sz w:val="20"/>
                <w:szCs w:val="20"/>
              </w:rPr>
            </w:pPr>
          </w:p>
          <w:p w14:paraId="3FF5B125">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5E890910">
            <w:pPr>
              <w:pStyle w:val="12"/>
              <w:spacing w:before="11"/>
              <w:rPr>
                <w:rFonts w:ascii="宋体" w:hAnsi="宋体" w:eastAsia="宋体" w:cs="宋体"/>
                <w:sz w:val="20"/>
                <w:szCs w:val="20"/>
              </w:rPr>
            </w:pPr>
          </w:p>
          <w:p w14:paraId="22013E96">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5FD4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14FFF810">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51FFC982">
            <w:pPr>
              <w:pStyle w:val="12"/>
              <w:adjustRightInd w:val="0"/>
              <w:snapToGrid w:val="0"/>
              <w:spacing w:line="360" w:lineRule="auto"/>
              <w:rPr>
                <w:rFonts w:cs="宋体" w:asciiTheme="minorEastAsia" w:hAnsiTheme="minorEastAsia" w:eastAsiaTheme="minorEastAsia"/>
                <w:sz w:val="20"/>
                <w:szCs w:val="20"/>
                <w:lang w:val="en-US"/>
              </w:rPr>
            </w:pPr>
            <w:r>
              <w:rPr>
                <w:rFonts w:hint="eastAsia" w:cs="宋体" w:asciiTheme="minorEastAsia" w:hAnsiTheme="minorEastAsia" w:eastAsiaTheme="minorEastAsia"/>
                <w:sz w:val="20"/>
                <w:szCs w:val="20"/>
                <w:lang w:val="en-US"/>
              </w:rPr>
              <w:t>上海承风金萍私募基金管理有限公司余承、李蓬勃，财通基金刘佳蒙、上海九方云智能科技有限公司王德慧、润隆联合家族办公室涂成玲、浙江圣熙资产管理有限公司王峰、信迹投资管理(上海)有限公司宋文略、上海仙人掌私募基金管理刘日光。（以上排名不分先后）</w:t>
            </w:r>
          </w:p>
        </w:tc>
      </w:tr>
      <w:tr w14:paraId="36282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226369C">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56335C0D">
            <w:pPr>
              <w:spacing w:before="100" w:beforeAutospacing="1" w:line="360" w:lineRule="auto"/>
              <w:rPr>
                <w:sz w:val="20"/>
                <w:szCs w:val="20"/>
              </w:rPr>
            </w:pPr>
            <w:r>
              <w:rPr>
                <w:rFonts w:hint="eastAsia" w:asciiTheme="minorEastAsia" w:hAnsiTheme="minorEastAsia" w:eastAsiaTheme="minorEastAsia" w:cstheme="minorEastAsia"/>
                <w:sz w:val="20"/>
                <w:szCs w:val="20"/>
              </w:rPr>
              <w:t>2025年</w:t>
            </w:r>
            <w:r>
              <w:rPr>
                <w:rFonts w:hint="eastAsia" w:asciiTheme="minorEastAsia" w:hAnsiTheme="minorEastAsia" w:eastAsiaTheme="minorEastAsia" w:cstheme="minorEastAsia"/>
                <w:sz w:val="20"/>
                <w:szCs w:val="20"/>
                <w:lang w:val="en-US"/>
              </w:rPr>
              <w:t>11</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rPr>
              <w:t>7</w:t>
            </w:r>
            <w:r>
              <w:rPr>
                <w:rFonts w:hint="eastAsia" w:asciiTheme="minorEastAsia" w:hAnsiTheme="minorEastAsia" w:eastAsiaTheme="minorEastAsia" w:cstheme="minorEastAsia"/>
                <w:sz w:val="20"/>
                <w:szCs w:val="20"/>
              </w:rPr>
              <w:t xml:space="preserve">日 </w:t>
            </w:r>
            <w:r>
              <w:rPr>
                <w:rFonts w:hint="eastAsia" w:asciiTheme="minorEastAsia" w:hAnsiTheme="minorEastAsia" w:eastAsiaTheme="minorEastAsia" w:cstheme="minorEastAsia"/>
                <w:sz w:val="20"/>
                <w:szCs w:val="20"/>
                <w:lang w:val="en-US"/>
              </w:rPr>
              <w:t>10</w:t>
            </w:r>
            <w:r>
              <w:rPr>
                <w:rFonts w:hint="eastAsia" w:asciiTheme="minorEastAsia" w:hAnsiTheme="minorEastAsia" w:eastAsiaTheme="minorEastAsia" w:cstheme="minorEastAsia"/>
                <w:sz w:val="20"/>
                <w:szCs w:val="20"/>
              </w:rPr>
              <w:t>:30-1</w:t>
            </w:r>
            <w:r>
              <w:rPr>
                <w:rFonts w:hint="eastAsia" w:asciiTheme="minorEastAsia" w:hAnsiTheme="minorEastAsia" w:eastAsiaTheme="minorEastAsia" w:cstheme="minorEastAsia"/>
                <w:sz w:val="20"/>
                <w:szCs w:val="20"/>
                <w:lang w:val="en-US"/>
              </w:rPr>
              <w:t>2</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rPr>
              <w:t>0</w:t>
            </w:r>
            <w:r>
              <w:rPr>
                <w:rFonts w:hint="eastAsia" w:asciiTheme="minorEastAsia" w:hAnsiTheme="minorEastAsia" w:eastAsiaTheme="minorEastAsia" w:cstheme="minorEastAsia"/>
                <w:sz w:val="20"/>
                <w:szCs w:val="20"/>
              </w:rPr>
              <w:t>0</w:t>
            </w:r>
          </w:p>
        </w:tc>
      </w:tr>
      <w:tr w14:paraId="170E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0F007D66">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27398BAF">
            <w:pPr>
              <w:pStyle w:val="12"/>
              <w:spacing w:before="100" w:beforeAutospacing="1" w:line="360" w:lineRule="auto"/>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val="en-US"/>
              </w:rPr>
              <w:t>公司会议室</w:t>
            </w:r>
          </w:p>
        </w:tc>
      </w:tr>
      <w:tr w14:paraId="2401B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722DD2A">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2EEBAF92">
            <w:pPr>
              <w:pStyle w:val="12"/>
              <w:spacing w:before="100" w:beforeAutospacing="1" w:line="360" w:lineRule="auto"/>
              <w:rPr>
                <w:rFonts w:ascii="宋体" w:hAnsi="宋体" w:eastAsia="宋体" w:cs="宋体"/>
                <w:sz w:val="20"/>
                <w:szCs w:val="20"/>
              </w:rPr>
            </w:pPr>
            <w:r>
              <w:rPr>
                <w:rFonts w:ascii="宋体" w:hAnsi="宋体" w:eastAsia="宋体" w:cs="宋体"/>
                <w:sz w:val="20"/>
                <w:szCs w:val="20"/>
              </w:rPr>
              <w:t>董事会秘书 韩俊</w:t>
            </w:r>
          </w:p>
        </w:tc>
      </w:tr>
      <w:tr w14:paraId="4C993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1EFEA244">
            <w:pPr>
              <w:pStyle w:val="12"/>
              <w:rPr>
                <w:rFonts w:ascii="宋体" w:hAnsi="宋体" w:eastAsia="宋体" w:cs="宋体"/>
                <w:b/>
                <w:bCs/>
                <w:sz w:val="20"/>
                <w:szCs w:val="20"/>
              </w:rPr>
            </w:pPr>
          </w:p>
          <w:p w14:paraId="17FF04A4">
            <w:pPr>
              <w:pStyle w:val="12"/>
              <w:rPr>
                <w:rFonts w:ascii="宋体" w:hAnsi="宋体" w:eastAsia="宋体" w:cs="宋体"/>
                <w:b/>
                <w:bCs/>
                <w:sz w:val="20"/>
                <w:szCs w:val="20"/>
              </w:rPr>
            </w:pPr>
          </w:p>
          <w:p w14:paraId="6D8069C3">
            <w:pPr>
              <w:pStyle w:val="12"/>
              <w:spacing w:before="5"/>
              <w:rPr>
                <w:rFonts w:ascii="宋体" w:hAnsi="宋体" w:eastAsia="宋体" w:cs="宋体"/>
                <w:b/>
                <w:bCs/>
                <w:sz w:val="20"/>
                <w:szCs w:val="20"/>
              </w:rPr>
            </w:pPr>
          </w:p>
          <w:p w14:paraId="6E010E61">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560B18E9">
            <w:pPr>
              <w:adjustRightInd w:val="0"/>
              <w:snapToGrid w:val="0"/>
              <w:spacing w:line="360" w:lineRule="auto"/>
              <w:ind w:firstLine="402" w:firstLineChars="200"/>
              <w:rPr>
                <w:rFonts w:ascii="宋体" w:hAnsi="宋体" w:eastAsia="宋体" w:cs="宋体"/>
                <w:b/>
                <w:bCs/>
                <w:sz w:val="20"/>
                <w:szCs w:val="20"/>
                <w:lang w:val="en-US"/>
              </w:rPr>
            </w:pPr>
            <w:r>
              <w:rPr>
                <w:rFonts w:hint="eastAsia" w:ascii="宋体" w:hAnsi="宋体" w:eastAsia="宋体" w:cs="宋体"/>
                <w:b/>
                <w:bCs/>
                <w:sz w:val="20"/>
                <w:szCs w:val="20"/>
                <w:lang w:val="en-US"/>
              </w:rPr>
              <w:t>1.董事会秘书韩俊介绍公司基本情况</w:t>
            </w:r>
          </w:p>
          <w:p w14:paraId="0DD1BFCF">
            <w:pPr>
              <w:adjustRightInd w:val="0"/>
              <w:snapToGrid w:val="0"/>
              <w:spacing w:line="360" w:lineRule="auto"/>
              <w:ind w:firstLine="400"/>
              <w:rPr>
                <w:rFonts w:ascii="宋体" w:hAnsi="宋体" w:eastAsia="宋体" w:cs="宋体"/>
                <w:sz w:val="20"/>
                <w:szCs w:val="20"/>
                <w:lang w:val="en-US"/>
              </w:rPr>
            </w:pPr>
            <w:r>
              <w:rPr>
                <w:rFonts w:hint="eastAsia" w:ascii="宋体" w:hAnsi="宋体" w:eastAsia="宋体" w:cs="宋体"/>
                <w:sz w:val="20"/>
                <w:szCs w:val="20"/>
                <w:lang w:val="en-US"/>
              </w:rPr>
              <w:t>介绍了公司历史沿革、投资规模、投资策略、投资区域及行业布局、投资案例等相关情况。</w:t>
            </w:r>
          </w:p>
          <w:p w14:paraId="74E36AED">
            <w:pPr>
              <w:adjustRightInd w:val="0"/>
              <w:snapToGrid w:val="0"/>
              <w:spacing w:line="360" w:lineRule="auto"/>
              <w:ind w:firstLine="400"/>
              <w:rPr>
                <w:rFonts w:ascii="宋体" w:hAnsi="宋体" w:eastAsia="宋体" w:cs="宋体"/>
                <w:sz w:val="20"/>
                <w:szCs w:val="20"/>
                <w:lang w:val="en-US"/>
              </w:rPr>
            </w:pPr>
            <w:r>
              <w:rPr>
                <w:rFonts w:hint="eastAsia" w:ascii="宋体" w:hAnsi="宋体" w:eastAsia="宋体" w:cs="宋体"/>
                <w:sz w:val="20"/>
                <w:szCs w:val="20"/>
                <w:lang w:val="en-US"/>
              </w:rPr>
              <w:t>公司创业投资板块自2000年成立以来，已有25年发展历史。截至2025年6月底，公司作为主发起人出资设立的基金及投资平台共59个，总认缴规模222.02亿元，到位资金规模150.73亿元。2025年上半年，公司作为主发起人出资设立的基金及投资平台完成一级投资项目14个，总投资额5.14亿元。公司着力打造“直投+旗舰基金+市场化基金”战略组合，持续聚焦新一代信息技术、高端装备制造、生命科学、新能源、新材料、航空航天、绿色低碳等国家战略性新兴产业，代表性投资案例包括硅基仿生、荣昌制药、蓝箭航天、美芯晟、长飞先进等行业优秀企业。截至目前，公司及参股基金累计投资企业300余家，助推 40余家企业登陆境内外主要资本市场。</w:t>
            </w:r>
          </w:p>
          <w:p w14:paraId="7B803842">
            <w:pPr>
              <w:adjustRightInd w:val="0"/>
              <w:snapToGrid w:val="0"/>
              <w:spacing w:line="360" w:lineRule="auto"/>
              <w:ind w:firstLine="402" w:firstLineChars="200"/>
              <w:rPr>
                <w:rFonts w:ascii="宋体" w:hAnsi="宋体" w:eastAsia="宋体" w:cs="宋体"/>
                <w:b/>
                <w:bCs/>
                <w:sz w:val="20"/>
                <w:szCs w:val="20"/>
                <w:lang w:val="en-US"/>
              </w:rPr>
            </w:pPr>
            <w:r>
              <w:rPr>
                <w:rFonts w:hint="eastAsia" w:ascii="宋体" w:hAnsi="宋体" w:eastAsia="宋体" w:cs="宋体"/>
                <w:b/>
                <w:bCs/>
                <w:sz w:val="20"/>
                <w:szCs w:val="20"/>
                <w:lang w:val="en-US"/>
              </w:rPr>
              <w:t>2.公司对核心人员有什么激励约束措施？</w:t>
            </w:r>
          </w:p>
          <w:p w14:paraId="78CC5736">
            <w:pPr>
              <w:adjustRightInd w:val="0"/>
              <w:snapToGrid w:val="0"/>
              <w:spacing w:line="360" w:lineRule="auto"/>
              <w:ind w:firstLine="400" w:firstLineChars="200"/>
              <w:rPr>
                <w:rFonts w:ascii="宋体" w:hAnsi="宋体" w:eastAsia="宋体" w:cs="宋体"/>
                <w:sz w:val="20"/>
                <w:szCs w:val="20"/>
                <w:lang w:val="en-US"/>
              </w:rPr>
            </w:pPr>
            <w:r>
              <w:rPr>
                <w:rFonts w:hint="eastAsia" w:ascii="宋体" w:hAnsi="宋体" w:eastAsia="宋体" w:cs="宋体"/>
                <w:sz w:val="20"/>
                <w:szCs w:val="20"/>
                <w:lang w:val="en-US"/>
              </w:rPr>
              <w:t>答：公司建立了员工跟投机制，投资团队对项目实施全面跟投，公司构建了“项目全面跟投、项目风险共担、项目长期激励”的激励约束长效机制。</w:t>
            </w:r>
          </w:p>
          <w:p w14:paraId="4A8C2EB8">
            <w:pPr>
              <w:adjustRightInd w:val="0"/>
              <w:snapToGrid w:val="0"/>
              <w:spacing w:line="360" w:lineRule="auto"/>
              <w:ind w:firstLine="402" w:firstLineChars="200"/>
              <w:rPr>
                <w:rFonts w:ascii="宋体" w:hAnsi="宋体" w:eastAsia="宋体" w:cs="宋体"/>
                <w:b/>
                <w:bCs/>
                <w:sz w:val="20"/>
                <w:szCs w:val="20"/>
                <w:lang w:val="en-US"/>
              </w:rPr>
            </w:pPr>
            <w:r>
              <w:rPr>
                <w:rFonts w:hint="eastAsia" w:ascii="宋体" w:hAnsi="宋体" w:eastAsia="宋体" w:cs="宋体"/>
                <w:b/>
                <w:bCs/>
                <w:sz w:val="20"/>
                <w:szCs w:val="20"/>
                <w:lang w:val="en-US"/>
              </w:rPr>
              <w:t>3.目前创投行业的政策环境如何？</w:t>
            </w:r>
          </w:p>
          <w:p w14:paraId="05F36FF6">
            <w:pPr>
              <w:adjustRightInd w:val="0"/>
              <w:snapToGrid w:val="0"/>
              <w:spacing w:line="360" w:lineRule="auto"/>
              <w:ind w:firstLine="400" w:firstLineChars="200"/>
              <w:rPr>
                <w:rFonts w:ascii="宋体" w:hAnsi="宋体" w:eastAsia="宋体" w:cs="宋体"/>
                <w:sz w:val="20"/>
                <w:szCs w:val="20"/>
                <w:lang w:val="en-US"/>
              </w:rPr>
            </w:pPr>
            <w:r>
              <w:rPr>
                <w:rFonts w:hint="eastAsia" w:ascii="宋体" w:hAnsi="宋体" w:eastAsia="宋体" w:cs="宋体"/>
                <w:sz w:val="20"/>
                <w:szCs w:val="20"/>
                <w:lang w:val="en-US"/>
              </w:rPr>
              <w:t>答：2024年以来，国家多个层面出台了包括“创投十七条”在内的多项促进创业投资行业发展的政策，创业投资将在国家科技创新和新质生产力发展中承担更加重要的角色。公司将紧抓政策机遇期，加强与央国企、政府引导基金、AIC、上市公司等机构的合作，围绕人工智能、新能源、新材料、航空航天等产业领域加大投资布局。</w:t>
            </w:r>
          </w:p>
          <w:p w14:paraId="67E284FB">
            <w:pPr>
              <w:adjustRightInd w:val="0"/>
              <w:snapToGrid w:val="0"/>
              <w:spacing w:line="360" w:lineRule="auto"/>
              <w:ind w:firstLine="402" w:firstLineChars="200"/>
              <w:rPr>
                <w:rFonts w:ascii="宋体" w:hAnsi="宋体" w:eastAsia="宋体" w:cs="宋体"/>
                <w:b/>
                <w:bCs/>
                <w:sz w:val="20"/>
                <w:szCs w:val="20"/>
                <w:lang w:val="en-US"/>
              </w:rPr>
            </w:pPr>
            <w:r>
              <w:rPr>
                <w:rFonts w:hint="eastAsia" w:ascii="宋体" w:hAnsi="宋体" w:eastAsia="宋体" w:cs="宋体"/>
                <w:b/>
                <w:bCs/>
                <w:sz w:val="20"/>
                <w:szCs w:val="20"/>
                <w:lang w:val="en-US"/>
              </w:rPr>
              <w:t>4.公司资产注入事项有什么进展？</w:t>
            </w:r>
          </w:p>
          <w:p w14:paraId="6B673E15">
            <w:pPr>
              <w:adjustRightInd w:val="0"/>
              <w:snapToGrid w:val="0"/>
              <w:spacing w:line="360" w:lineRule="auto"/>
              <w:ind w:firstLine="400" w:firstLineChars="200"/>
              <w:rPr>
                <w:rFonts w:ascii="宋体" w:hAnsi="宋体" w:eastAsia="宋体" w:cs="宋体"/>
                <w:sz w:val="20"/>
                <w:szCs w:val="20"/>
                <w:lang w:val="en-US"/>
              </w:rPr>
            </w:pPr>
            <w:r>
              <w:rPr>
                <w:rFonts w:hint="eastAsia" w:ascii="宋体" w:hAnsi="宋体" w:eastAsia="宋体" w:cs="宋体"/>
                <w:sz w:val="20"/>
                <w:szCs w:val="20"/>
                <w:lang w:val="en-US"/>
              </w:rPr>
              <w:t>答：关于资产注入事项，目前仍在对潜在的产业链投资机会进行研判。</w:t>
            </w:r>
          </w:p>
          <w:p w14:paraId="2E3C019B">
            <w:pPr>
              <w:adjustRightInd w:val="0"/>
              <w:snapToGrid w:val="0"/>
              <w:spacing w:line="360" w:lineRule="auto"/>
              <w:ind w:firstLine="402" w:firstLineChars="200"/>
              <w:rPr>
                <w:rFonts w:ascii="宋体" w:hAnsi="宋体" w:eastAsia="宋体" w:cs="宋体"/>
                <w:b/>
                <w:bCs/>
                <w:sz w:val="20"/>
                <w:szCs w:val="20"/>
                <w:lang w:val="en-US"/>
              </w:rPr>
            </w:pPr>
            <w:r>
              <w:rPr>
                <w:rFonts w:hint="eastAsia" w:ascii="宋体" w:hAnsi="宋体" w:eastAsia="宋体" w:cs="宋体"/>
                <w:b/>
                <w:bCs/>
                <w:sz w:val="20"/>
                <w:szCs w:val="20"/>
                <w:lang w:val="en-US"/>
              </w:rPr>
              <w:t>5.公司目前实体产业板块的规划？</w:t>
            </w:r>
          </w:p>
          <w:p w14:paraId="3DCF6D5F">
            <w:pPr>
              <w:adjustRightInd w:val="0"/>
              <w:snapToGrid w:val="0"/>
              <w:spacing w:line="360" w:lineRule="auto"/>
              <w:ind w:firstLine="400"/>
              <w:rPr>
                <w:rFonts w:ascii="宋体" w:hAnsi="宋体" w:eastAsia="宋体" w:cs="宋体"/>
                <w:sz w:val="20"/>
                <w:szCs w:val="20"/>
                <w:lang w:val="en-US"/>
              </w:rPr>
            </w:pPr>
            <w:r>
              <w:rPr>
                <w:rFonts w:hint="eastAsia" w:ascii="宋体" w:hAnsi="宋体" w:eastAsia="宋体" w:cs="宋体"/>
                <w:sz w:val="20"/>
                <w:szCs w:val="20"/>
                <w:lang w:val="en-US"/>
              </w:rPr>
              <w:t>答：公司实体板块为淄博的磨具公司，目前生产经营正常，下一步继续在产品研发、市场销售上加大力度，提升营业收入。</w:t>
            </w:r>
          </w:p>
          <w:p w14:paraId="1AF1E28B">
            <w:pPr>
              <w:adjustRightInd w:val="0"/>
              <w:snapToGrid w:val="0"/>
              <w:spacing w:line="360" w:lineRule="auto"/>
              <w:ind w:firstLine="400"/>
              <w:rPr>
                <w:rFonts w:ascii="宋体" w:hAnsi="宋体" w:eastAsia="宋体" w:cs="宋体"/>
                <w:b/>
                <w:bCs/>
                <w:sz w:val="20"/>
                <w:szCs w:val="20"/>
                <w:lang w:val="en-US"/>
              </w:rPr>
            </w:pPr>
            <w:r>
              <w:rPr>
                <w:rFonts w:hint="eastAsia" w:ascii="宋体" w:hAnsi="宋体" w:eastAsia="宋体" w:cs="宋体"/>
                <w:b/>
                <w:bCs/>
                <w:sz w:val="20"/>
                <w:szCs w:val="20"/>
                <w:lang w:val="en-US"/>
              </w:rPr>
              <w:t>6.公司的投前尽调、投后管理的机制是怎么样的？</w:t>
            </w:r>
          </w:p>
          <w:p w14:paraId="402FD443">
            <w:pPr>
              <w:adjustRightInd w:val="0"/>
              <w:snapToGrid w:val="0"/>
              <w:spacing w:line="360" w:lineRule="auto"/>
              <w:ind w:firstLine="400"/>
              <w:rPr>
                <w:rFonts w:ascii="宋体" w:hAnsi="宋体" w:eastAsia="宋体" w:cs="宋体"/>
                <w:sz w:val="20"/>
                <w:szCs w:val="20"/>
                <w:lang w:val="en-US"/>
              </w:rPr>
            </w:pPr>
            <w:r>
              <w:rPr>
                <w:rFonts w:hint="eastAsia" w:ascii="宋体" w:hAnsi="宋体" w:eastAsia="宋体" w:cs="宋体"/>
                <w:sz w:val="20"/>
                <w:szCs w:val="20"/>
                <w:lang w:val="en-US"/>
              </w:rPr>
              <w:t>答：公司围绕基金管理、投资尽调、项目管理、财务管理等关键环节，建立了全员风控、全面风控、全程风控的全方位风险防控体系。同时，围绕重点项目开展中后台部</w:t>
            </w:r>
            <w:bookmarkStart w:id="0" w:name="_GoBack"/>
            <w:bookmarkEnd w:id="0"/>
            <w:r>
              <w:rPr>
                <w:rFonts w:hint="eastAsia" w:ascii="宋体" w:hAnsi="宋体" w:eastAsia="宋体" w:cs="宋体"/>
                <w:sz w:val="20"/>
                <w:szCs w:val="20"/>
                <w:lang w:val="en-US"/>
              </w:rPr>
              <w:t>门独立的财务尽调和法务尽调，将风险防控关口前移，为公司投资决策提供参考。另一方面设立投后专员机制，实时跟踪在管项目的后续进展和运营情况，着眼“全面赋能”增强投后服务能力。</w:t>
            </w:r>
          </w:p>
          <w:p w14:paraId="7970B9FB">
            <w:pPr>
              <w:adjustRightInd w:val="0"/>
              <w:snapToGrid w:val="0"/>
              <w:spacing w:line="360" w:lineRule="auto"/>
              <w:rPr>
                <w:lang w:val="en-US"/>
              </w:rPr>
            </w:pPr>
          </w:p>
        </w:tc>
      </w:tr>
      <w:tr w14:paraId="2D8EC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3AE689B6">
            <w:pPr>
              <w:pStyle w:val="12"/>
              <w:spacing w:before="1"/>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675B56BA">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65955774">
            <w:pPr>
              <w:pStyle w:val="12"/>
              <w:spacing w:before="100" w:beforeAutospacing="1" w:line="360" w:lineRule="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11638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AB806D6">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附件清单（如有）</w:t>
            </w:r>
          </w:p>
        </w:tc>
        <w:tc>
          <w:tcPr>
            <w:tcW w:w="5945" w:type="dxa"/>
            <w:vAlign w:val="center"/>
          </w:tcPr>
          <w:p w14:paraId="0AA55E2F">
            <w:pPr>
              <w:pStyle w:val="12"/>
              <w:spacing w:before="100" w:beforeAutospacing="1" w:line="360" w:lineRule="auto"/>
              <w:rPr>
                <w:rFonts w:ascii="宋体" w:hAnsi="宋体" w:eastAsia="宋体" w:cs="宋体"/>
                <w:sz w:val="20"/>
                <w:szCs w:val="20"/>
              </w:rPr>
            </w:pPr>
          </w:p>
        </w:tc>
      </w:tr>
      <w:tr w14:paraId="2053A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21C07BE">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日期</w:t>
            </w:r>
          </w:p>
        </w:tc>
        <w:tc>
          <w:tcPr>
            <w:tcW w:w="5945" w:type="dxa"/>
            <w:vAlign w:val="center"/>
          </w:tcPr>
          <w:p w14:paraId="1955DF0C">
            <w:pPr>
              <w:pStyle w:val="12"/>
              <w:spacing w:before="100" w:beforeAutospacing="1"/>
              <w:rPr>
                <w:rFonts w:ascii="宋体" w:hAnsi="宋体" w:eastAsia="宋体" w:cs="宋体"/>
                <w:sz w:val="20"/>
                <w:szCs w:val="20"/>
              </w:rPr>
            </w:pPr>
            <w:r>
              <w:rPr>
                <w:rFonts w:ascii="宋体" w:hAnsi="宋体" w:eastAsia="宋体" w:cs="宋体"/>
                <w:sz w:val="20"/>
                <w:szCs w:val="20"/>
              </w:rPr>
              <w:t>2025年</w:t>
            </w:r>
            <w:r>
              <w:rPr>
                <w:rFonts w:hint="eastAsia" w:ascii="宋体" w:hAnsi="宋体" w:eastAsia="宋体" w:cs="宋体"/>
                <w:sz w:val="20"/>
                <w:szCs w:val="20"/>
                <w:lang w:val="en-US"/>
              </w:rPr>
              <w:t>11</w:t>
            </w:r>
            <w:r>
              <w:rPr>
                <w:rFonts w:ascii="宋体" w:hAnsi="宋体" w:eastAsia="宋体" w:cs="宋体"/>
                <w:sz w:val="20"/>
                <w:szCs w:val="20"/>
              </w:rPr>
              <w:t>月</w:t>
            </w:r>
            <w:r>
              <w:rPr>
                <w:rFonts w:hint="eastAsia" w:ascii="宋体" w:hAnsi="宋体" w:eastAsia="宋体" w:cs="宋体"/>
                <w:sz w:val="20"/>
                <w:szCs w:val="20"/>
                <w:lang w:val="en-US"/>
              </w:rPr>
              <w:t>7</w:t>
            </w:r>
            <w:r>
              <w:rPr>
                <w:rFonts w:ascii="宋体" w:hAnsi="宋体" w:eastAsia="宋体" w:cs="宋体"/>
                <w:sz w:val="20"/>
                <w:szCs w:val="20"/>
              </w:rPr>
              <w:t>日</w:t>
            </w:r>
          </w:p>
        </w:tc>
      </w:tr>
    </w:tbl>
    <w:p w14:paraId="5B3ABCB4">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619D4"/>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5179"/>
    <w:rsid w:val="004F6FF3"/>
    <w:rsid w:val="00571B49"/>
    <w:rsid w:val="005743AE"/>
    <w:rsid w:val="005D64CA"/>
    <w:rsid w:val="005E5717"/>
    <w:rsid w:val="005E6DB2"/>
    <w:rsid w:val="0061433E"/>
    <w:rsid w:val="0062751D"/>
    <w:rsid w:val="006354AA"/>
    <w:rsid w:val="00657758"/>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28B4"/>
    <w:rsid w:val="00EE3187"/>
    <w:rsid w:val="00EF499B"/>
    <w:rsid w:val="00F14977"/>
    <w:rsid w:val="00FB4A08"/>
    <w:rsid w:val="00FC0C2A"/>
    <w:rsid w:val="00FD7F8E"/>
    <w:rsid w:val="00FF11E4"/>
    <w:rsid w:val="037C1244"/>
    <w:rsid w:val="04B072D4"/>
    <w:rsid w:val="05F575D4"/>
    <w:rsid w:val="064249C6"/>
    <w:rsid w:val="08641132"/>
    <w:rsid w:val="09186774"/>
    <w:rsid w:val="0945438F"/>
    <w:rsid w:val="09F50DBC"/>
    <w:rsid w:val="0A71587A"/>
    <w:rsid w:val="0B792C38"/>
    <w:rsid w:val="0C28640C"/>
    <w:rsid w:val="0E90599A"/>
    <w:rsid w:val="0ED720CD"/>
    <w:rsid w:val="12070CAE"/>
    <w:rsid w:val="145F688C"/>
    <w:rsid w:val="14D47131"/>
    <w:rsid w:val="15680001"/>
    <w:rsid w:val="15A85BD2"/>
    <w:rsid w:val="15DD2205"/>
    <w:rsid w:val="17072842"/>
    <w:rsid w:val="17A67110"/>
    <w:rsid w:val="184429C5"/>
    <w:rsid w:val="1864189B"/>
    <w:rsid w:val="18D73A7D"/>
    <w:rsid w:val="19557370"/>
    <w:rsid w:val="1BD06B6A"/>
    <w:rsid w:val="1C070D66"/>
    <w:rsid w:val="1F782BDE"/>
    <w:rsid w:val="204A6A53"/>
    <w:rsid w:val="23316D8B"/>
    <w:rsid w:val="23317869"/>
    <w:rsid w:val="25650CAE"/>
    <w:rsid w:val="26406598"/>
    <w:rsid w:val="28080056"/>
    <w:rsid w:val="28734C1A"/>
    <w:rsid w:val="28C72DDD"/>
    <w:rsid w:val="29C047B8"/>
    <w:rsid w:val="29D11A3A"/>
    <w:rsid w:val="29EE0E64"/>
    <w:rsid w:val="2BC4020A"/>
    <w:rsid w:val="2EF90F16"/>
    <w:rsid w:val="2F125C63"/>
    <w:rsid w:val="2FDB716E"/>
    <w:rsid w:val="302C3D0A"/>
    <w:rsid w:val="3104598F"/>
    <w:rsid w:val="33DE31BB"/>
    <w:rsid w:val="389C49C0"/>
    <w:rsid w:val="39BC78F4"/>
    <w:rsid w:val="3B35486F"/>
    <w:rsid w:val="3EF1250A"/>
    <w:rsid w:val="40567DB0"/>
    <w:rsid w:val="40987B9A"/>
    <w:rsid w:val="40FF5CD2"/>
    <w:rsid w:val="42DB40B0"/>
    <w:rsid w:val="43B71B0A"/>
    <w:rsid w:val="44FA0589"/>
    <w:rsid w:val="45A663E3"/>
    <w:rsid w:val="469F09AF"/>
    <w:rsid w:val="4A273D44"/>
    <w:rsid w:val="4A422883"/>
    <w:rsid w:val="4AD14CE7"/>
    <w:rsid w:val="4B756271"/>
    <w:rsid w:val="4C8E1CA8"/>
    <w:rsid w:val="4D6D36A4"/>
    <w:rsid w:val="510903EF"/>
    <w:rsid w:val="539149A6"/>
    <w:rsid w:val="53F137F4"/>
    <w:rsid w:val="543A6906"/>
    <w:rsid w:val="543F0F43"/>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CD35FEF"/>
    <w:rsid w:val="6D9271B2"/>
    <w:rsid w:val="6F134790"/>
    <w:rsid w:val="6F2527DE"/>
    <w:rsid w:val="6FE81F5F"/>
    <w:rsid w:val="71CA611F"/>
    <w:rsid w:val="72446028"/>
    <w:rsid w:val="73076EC0"/>
    <w:rsid w:val="74210CA6"/>
    <w:rsid w:val="746F4E76"/>
    <w:rsid w:val="75764848"/>
    <w:rsid w:val="75DC415C"/>
    <w:rsid w:val="75E30731"/>
    <w:rsid w:val="76430096"/>
    <w:rsid w:val="788C25F5"/>
    <w:rsid w:val="789E67FB"/>
    <w:rsid w:val="79F72AA9"/>
    <w:rsid w:val="7A144529"/>
    <w:rsid w:val="7DD37FAE"/>
    <w:rsid w:val="7E24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宋体" w:hAnsi="宋体" w:eastAsia="宋体" w:cs="宋体"/>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1247</Words>
  <Characters>1314</Characters>
  <Lines>10</Lines>
  <Paragraphs>2</Paragraphs>
  <TotalTime>13</TotalTime>
  <ScaleCrop>false</ScaleCrop>
  <LinksUpToDate>false</LinksUpToDate>
  <CharactersWithSpaces>1368</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2025-11-10T01:48:00Z</dcterms:created>
  <dc:creator>jie.huang</dc:creator>
  <cp:lastModifiedBy>何亚楠</cp:lastModifiedBy>
  <dcterms:modified xsi:type="dcterms:W3CDTF">2025-11-10T02:10:03Z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57D148DF2F764966BF4E1C38A6255FA2</vt:lpwstr>
  </property>
  <property fmtid="{D5CDD505-2E9C-101B-9397-08002B2CF9AE}" pid="4" name="KSOTemplateDocerSaveRecord">
    <vt:lpwstr>eyJoZGlkIjoiZTQ4ODQwNThiYTg4YTBlNDhkZDRmNGNiNWM5NWE1YzAiLCJ1c2VySWQiOiI0MjUwNDkzNjUifQ==</vt:lpwstr>
  </property>
</Properties>
</file>