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6F3F5CE7" w:rsidR="00601258" w:rsidRPr="00562BE4" w:rsidRDefault="00000000">
      <w:pPr>
        <w:pStyle w:val="1"/>
        <w:rPr>
          <w:rFonts w:ascii="宋体" w:eastAsia="宋体" w:hAnsi="宋体" w:cs="宋体" w:hint="eastAsia"/>
          <w:sz w:val="24"/>
          <w:szCs w:val="24"/>
          <w:lang w:val="en-US"/>
        </w:rPr>
      </w:pPr>
      <w:r w:rsidRPr="00562BE4">
        <w:rPr>
          <w:rFonts w:ascii="宋体" w:eastAsia="宋体" w:hAnsi="宋体" w:cs="宋体" w:hint="eastAsia"/>
          <w:sz w:val="24"/>
          <w:szCs w:val="24"/>
          <w:lang w:val="en-US"/>
        </w:rPr>
        <w:t>证券代码：600153                                   证券简称：建发股份</w:t>
      </w:r>
    </w:p>
    <w:p w14:paraId="1D81481B" w14:textId="77777777" w:rsidR="00601258" w:rsidRPr="00562BE4" w:rsidRDefault="00601258">
      <w:pPr>
        <w:spacing w:line="360" w:lineRule="auto"/>
        <w:jc w:val="center"/>
        <w:rPr>
          <w:rFonts w:ascii="宋体" w:eastAsia="宋体" w:hAnsi="宋体" w:cs="宋体" w:hint="eastAsia"/>
          <w:b/>
          <w:bCs/>
          <w:sz w:val="24"/>
          <w:szCs w:val="24"/>
        </w:rPr>
      </w:pPr>
    </w:p>
    <w:p w14:paraId="3E084184" w14:textId="4D4D2991" w:rsidR="00601258" w:rsidRPr="00562BE4" w:rsidRDefault="00000000">
      <w:pPr>
        <w:spacing w:line="360" w:lineRule="auto"/>
        <w:jc w:val="center"/>
        <w:rPr>
          <w:rFonts w:ascii="宋体" w:eastAsia="宋体" w:hAnsi="宋体" w:cs="宋体" w:hint="eastAsia"/>
          <w:sz w:val="32"/>
          <w:szCs w:val="32"/>
        </w:rPr>
      </w:pPr>
      <w:r w:rsidRPr="00562BE4">
        <w:rPr>
          <w:rFonts w:ascii="宋体" w:eastAsia="宋体" w:hAnsi="宋体" w:cs="宋体" w:hint="eastAsia"/>
          <w:b/>
          <w:bCs/>
          <w:sz w:val="32"/>
          <w:szCs w:val="32"/>
        </w:rPr>
        <w:t>厦门建发股份有限公司投资者关系活动记录表</w:t>
      </w:r>
    </w:p>
    <w:p w14:paraId="5691C55C" w14:textId="24408009" w:rsidR="00601258" w:rsidRDefault="00601258">
      <w:pPr>
        <w:spacing w:before="51" w:after="32"/>
        <w:ind w:right="619"/>
        <w:jc w:val="right"/>
        <w:rPr>
          <w:rFonts w:ascii="宋体" w:eastAsia="宋体" w:hAnsi="宋体" w:cs="宋体" w:hint="eastAsia"/>
          <w:sz w:val="24"/>
          <w:szCs w:val="24"/>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80"/>
        <w:gridCol w:w="7229"/>
      </w:tblGrid>
      <w:tr w:rsidR="00601258" w:rsidRPr="00564105" w14:paraId="04E9C6C6" w14:textId="77777777" w:rsidTr="00366404">
        <w:trPr>
          <w:trHeight w:val="1744"/>
          <w:jc w:val="center"/>
        </w:trPr>
        <w:tc>
          <w:tcPr>
            <w:tcW w:w="1980" w:type="dxa"/>
          </w:tcPr>
          <w:p w14:paraId="52B7B64A" w14:textId="77777777" w:rsidR="00601258" w:rsidRPr="00564105" w:rsidRDefault="00601258">
            <w:pPr>
              <w:pStyle w:val="TableParagraph"/>
              <w:spacing w:before="7"/>
              <w:rPr>
                <w:rFonts w:ascii="宋体" w:eastAsia="宋体" w:hAnsi="宋体" w:cs="宋体" w:hint="eastAsia"/>
                <w:b/>
                <w:bCs/>
                <w:sz w:val="24"/>
                <w:szCs w:val="24"/>
              </w:rPr>
            </w:pPr>
          </w:p>
          <w:p w14:paraId="60EEF3A0"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投资者关系活动类别</w:t>
            </w:r>
          </w:p>
        </w:tc>
        <w:tc>
          <w:tcPr>
            <w:tcW w:w="7229" w:type="dxa"/>
          </w:tcPr>
          <w:p w14:paraId="770851F5" w14:textId="77777777" w:rsidR="00601258" w:rsidRPr="00564105"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特</w:t>
            </w:r>
            <w:r w:rsidRPr="00564105">
              <w:rPr>
                <w:rFonts w:ascii="宋体" w:eastAsia="宋体" w:hAnsi="宋体" w:cs="宋体" w:hint="eastAsia"/>
                <w:spacing w:val="-3"/>
                <w:sz w:val="24"/>
                <w:szCs w:val="24"/>
              </w:rPr>
              <w:t>定</w:t>
            </w:r>
            <w:r w:rsidRPr="00564105">
              <w:rPr>
                <w:rFonts w:ascii="宋体" w:eastAsia="宋体" w:hAnsi="宋体" w:cs="宋体" w:hint="eastAsia"/>
                <w:sz w:val="24"/>
                <w:szCs w:val="24"/>
              </w:rPr>
              <w:t>对</w:t>
            </w:r>
            <w:r w:rsidRPr="00564105">
              <w:rPr>
                <w:rFonts w:ascii="宋体" w:eastAsia="宋体" w:hAnsi="宋体" w:cs="宋体" w:hint="eastAsia"/>
                <w:spacing w:val="-3"/>
                <w:sz w:val="24"/>
                <w:szCs w:val="24"/>
              </w:rPr>
              <w:t>象</w:t>
            </w:r>
            <w:r w:rsidRPr="00564105">
              <w:rPr>
                <w:rFonts w:ascii="宋体" w:eastAsia="宋体" w:hAnsi="宋体" w:cs="宋体" w:hint="eastAsia"/>
                <w:sz w:val="24"/>
                <w:szCs w:val="24"/>
              </w:rPr>
              <w:t>调研</w:t>
            </w:r>
            <w:r w:rsidRPr="00564105">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分</w:t>
            </w:r>
            <w:r w:rsidRPr="00564105">
              <w:rPr>
                <w:rFonts w:ascii="宋体" w:eastAsia="宋体" w:hAnsi="宋体" w:cs="宋体" w:hint="eastAsia"/>
                <w:spacing w:val="-3"/>
                <w:sz w:val="24"/>
                <w:szCs w:val="24"/>
              </w:rPr>
              <w:t>析</w:t>
            </w:r>
            <w:r w:rsidRPr="00564105">
              <w:rPr>
                <w:rFonts w:ascii="宋体" w:eastAsia="宋体" w:hAnsi="宋体" w:cs="宋体" w:hint="eastAsia"/>
                <w:sz w:val="24"/>
                <w:szCs w:val="24"/>
              </w:rPr>
              <w:t>师</w:t>
            </w:r>
            <w:r w:rsidRPr="00564105">
              <w:rPr>
                <w:rFonts w:ascii="宋体" w:eastAsia="宋体" w:hAnsi="宋体" w:cs="宋体" w:hint="eastAsia"/>
                <w:spacing w:val="-3"/>
                <w:sz w:val="24"/>
                <w:szCs w:val="24"/>
              </w:rPr>
              <w:t>会</w:t>
            </w:r>
            <w:r w:rsidRPr="00564105">
              <w:rPr>
                <w:rFonts w:ascii="宋体" w:eastAsia="宋体" w:hAnsi="宋体" w:cs="宋体" w:hint="eastAsia"/>
                <w:sz w:val="24"/>
                <w:szCs w:val="24"/>
              </w:rPr>
              <w:t>议</w:t>
            </w:r>
          </w:p>
          <w:p w14:paraId="1721F1F4" w14:textId="68273B7B"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媒</w:t>
            </w:r>
            <w:r w:rsidRPr="00564105">
              <w:rPr>
                <w:rFonts w:ascii="宋体" w:eastAsia="宋体" w:hAnsi="宋体" w:cs="宋体" w:hint="eastAsia"/>
                <w:spacing w:val="-3"/>
                <w:sz w:val="24"/>
                <w:szCs w:val="24"/>
              </w:rPr>
              <w:t>体</w:t>
            </w:r>
            <w:r w:rsidRPr="00564105">
              <w:rPr>
                <w:rFonts w:ascii="宋体" w:eastAsia="宋体" w:hAnsi="宋体" w:cs="宋体" w:hint="eastAsia"/>
                <w:sz w:val="24"/>
                <w:szCs w:val="24"/>
              </w:rPr>
              <w:t>采访</w:t>
            </w:r>
            <w:r w:rsidRPr="00564105">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Content>
                <w:r w:rsidR="00672A58" w:rsidRPr="00564105">
                  <w:rPr>
                    <w:rFonts w:ascii="宋体" w:eastAsia="宋体" w:hAnsi="宋体" w:cs="宋体" w:hint="eastAsia"/>
                    <w:sz w:val="24"/>
                    <w:szCs w:val="24"/>
                  </w:rPr>
                  <w:sym w:font="Wingdings 2" w:char="F052"/>
                </w:r>
              </w:sdtContent>
            </w:sdt>
            <w:r w:rsidRPr="00564105">
              <w:rPr>
                <w:rFonts w:ascii="宋体" w:eastAsia="宋体" w:hAnsi="宋体" w:cs="宋体" w:hint="eastAsia"/>
                <w:sz w:val="24"/>
                <w:szCs w:val="24"/>
              </w:rPr>
              <w:t>业</w:t>
            </w:r>
            <w:r w:rsidRPr="00564105">
              <w:rPr>
                <w:rFonts w:ascii="宋体" w:eastAsia="宋体" w:hAnsi="宋体" w:cs="宋体" w:hint="eastAsia"/>
                <w:spacing w:val="-3"/>
                <w:sz w:val="24"/>
                <w:szCs w:val="24"/>
              </w:rPr>
              <w:t>绩</w:t>
            </w:r>
            <w:r w:rsidRPr="00564105">
              <w:rPr>
                <w:rFonts w:ascii="宋体" w:eastAsia="宋体" w:hAnsi="宋体" w:cs="宋体" w:hint="eastAsia"/>
                <w:sz w:val="24"/>
                <w:szCs w:val="24"/>
              </w:rPr>
              <w:t>说</w:t>
            </w:r>
            <w:r w:rsidRPr="00564105">
              <w:rPr>
                <w:rFonts w:ascii="宋体" w:eastAsia="宋体" w:hAnsi="宋体" w:cs="宋体" w:hint="eastAsia"/>
                <w:spacing w:val="-3"/>
                <w:sz w:val="24"/>
                <w:szCs w:val="24"/>
              </w:rPr>
              <w:t>明</w:t>
            </w:r>
            <w:r w:rsidRPr="00564105">
              <w:rPr>
                <w:rFonts w:ascii="宋体" w:eastAsia="宋体" w:hAnsi="宋体" w:cs="宋体" w:hint="eastAsia"/>
                <w:sz w:val="24"/>
                <w:szCs w:val="24"/>
              </w:rPr>
              <w:t>会</w:t>
            </w:r>
          </w:p>
          <w:p w14:paraId="548591C3" w14:textId="77777777" w:rsidR="00601258" w:rsidRPr="00564105"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新</w:t>
            </w:r>
            <w:r w:rsidRPr="00564105">
              <w:rPr>
                <w:rFonts w:ascii="宋体" w:eastAsia="宋体" w:hAnsi="宋体" w:cs="宋体" w:hint="eastAsia"/>
                <w:spacing w:val="-3"/>
                <w:sz w:val="24"/>
                <w:szCs w:val="24"/>
              </w:rPr>
              <w:t>闻</w:t>
            </w:r>
            <w:r w:rsidRPr="00564105">
              <w:rPr>
                <w:rFonts w:ascii="宋体" w:eastAsia="宋体" w:hAnsi="宋体" w:cs="宋体" w:hint="eastAsia"/>
                <w:sz w:val="24"/>
                <w:szCs w:val="24"/>
              </w:rPr>
              <w:t>发</w:t>
            </w:r>
            <w:r w:rsidRPr="00564105">
              <w:rPr>
                <w:rFonts w:ascii="宋体" w:eastAsia="宋体" w:hAnsi="宋体" w:cs="宋体" w:hint="eastAsia"/>
                <w:spacing w:val="-3"/>
                <w:sz w:val="24"/>
                <w:szCs w:val="24"/>
              </w:rPr>
              <w:t>布</w:t>
            </w:r>
            <w:r w:rsidRPr="00564105">
              <w:rPr>
                <w:rFonts w:ascii="宋体" w:eastAsia="宋体" w:hAnsi="宋体" w:cs="宋体" w:hint="eastAsia"/>
                <w:sz w:val="24"/>
                <w:szCs w:val="24"/>
              </w:rPr>
              <w:t>会</w:t>
            </w:r>
            <w:r w:rsidRPr="00564105">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路</w:t>
            </w:r>
            <w:r w:rsidRPr="00564105">
              <w:rPr>
                <w:rFonts w:ascii="宋体" w:eastAsia="宋体" w:hAnsi="宋体" w:cs="宋体" w:hint="eastAsia"/>
                <w:spacing w:val="-3"/>
                <w:sz w:val="24"/>
                <w:szCs w:val="24"/>
              </w:rPr>
              <w:t>演</w:t>
            </w:r>
            <w:r w:rsidRPr="00564105">
              <w:rPr>
                <w:rFonts w:ascii="宋体" w:eastAsia="宋体" w:hAnsi="宋体" w:cs="宋体" w:hint="eastAsia"/>
                <w:sz w:val="24"/>
                <w:szCs w:val="24"/>
              </w:rPr>
              <w:t>活动</w:t>
            </w:r>
          </w:p>
          <w:p w14:paraId="1F0357FD"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现场参观</w:t>
            </w:r>
          </w:p>
          <w:p w14:paraId="3130DB18" w14:textId="77777777" w:rsidR="00601258" w:rsidRPr="00564105"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sidRPr="00564105">
                  <w:rPr>
                    <w:rFonts w:ascii="Segoe UI Symbol" w:eastAsia="宋体" w:hAnsi="Segoe UI Symbol" w:cs="Segoe UI Symbol"/>
                    <w:sz w:val="24"/>
                    <w:szCs w:val="24"/>
                  </w:rPr>
                  <w:t>☐</w:t>
                </w:r>
              </w:sdtContent>
            </w:sdt>
            <w:r w:rsidRPr="00564105">
              <w:rPr>
                <w:rFonts w:ascii="宋体" w:eastAsia="宋体" w:hAnsi="宋体" w:cs="宋体" w:hint="eastAsia"/>
                <w:sz w:val="24"/>
                <w:szCs w:val="24"/>
              </w:rPr>
              <w:t>其他（</w:t>
            </w:r>
            <w:r w:rsidRPr="00564105">
              <w:rPr>
                <w:rFonts w:ascii="宋体" w:eastAsia="宋体" w:hAnsi="宋体" w:cs="宋体" w:hint="eastAsia"/>
                <w:sz w:val="24"/>
                <w:szCs w:val="24"/>
                <w:u w:val="single"/>
              </w:rPr>
              <w:t>请文字说明其他活动内容）</w:t>
            </w:r>
          </w:p>
        </w:tc>
      </w:tr>
      <w:tr w:rsidR="00601258" w:rsidRPr="00564105" w14:paraId="47B61A15" w14:textId="77777777" w:rsidTr="00366404">
        <w:trPr>
          <w:trHeight w:val="1120"/>
          <w:jc w:val="center"/>
        </w:trPr>
        <w:tc>
          <w:tcPr>
            <w:tcW w:w="1980" w:type="dxa"/>
            <w:vAlign w:val="center"/>
          </w:tcPr>
          <w:p w14:paraId="3E0559E1" w14:textId="77777777" w:rsidR="00601258" w:rsidRPr="00564105" w:rsidRDefault="00000000">
            <w:pPr>
              <w:pStyle w:val="TableParagraph"/>
              <w:spacing w:line="560" w:lineRule="exact"/>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参与单位名称及人员姓名</w:t>
            </w:r>
          </w:p>
        </w:tc>
        <w:tc>
          <w:tcPr>
            <w:tcW w:w="7229" w:type="dxa"/>
            <w:vAlign w:val="center"/>
          </w:tcPr>
          <w:p w14:paraId="2D592F3E" w14:textId="014DCA49" w:rsidR="00601258" w:rsidRPr="00564105" w:rsidRDefault="00366298">
            <w:pPr>
              <w:pStyle w:val="TableParagraph"/>
              <w:spacing w:before="100" w:beforeAutospacing="1" w:line="360" w:lineRule="auto"/>
              <w:rPr>
                <w:rFonts w:ascii="宋体" w:eastAsia="宋体" w:hAnsi="宋体" w:cs="宋体" w:hint="eastAsia"/>
                <w:sz w:val="24"/>
                <w:szCs w:val="24"/>
              </w:rPr>
            </w:pPr>
            <w:r w:rsidRPr="00366298">
              <w:rPr>
                <w:rFonts w:ascii="宋体" w:eastAsia="宋体" w:hAnsi="宋体" w:cs="宋体" w:hint="eastAsia"/>
                <w:sz w:val="24"/>
                <w:szCs w:val="24"/>
              </w:rPr>
              <w:t>投资者线上文字提问</w:t>
            </w:r>
          </w:p>
        </w:tc>
      </w:tr>
      <w:tr w:rsidR="00601258" w:rsidRPr="00564105" w14:paraId="531F85BF" w14:textId="77777777" w:rsidTr="00366404">
        <w:trPr>
          <w:trHeight w:val="558"/>
          <w:jc w:val="center"/>
        </w:trPr>
        <w:tc>
          <w:tcPr>
            <w:tcW w:w="1980" w:type="dxa"/>
            <w:vAlign w:val="center"/>
          </w:tcPr>
          <w:p w14:paraId="2DD165B3"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时间</w:t>
            </w:r>
          </w:p>
        </w:tc>
        <w:tc>
          <w:tcPr>
            <w:tcW w:w="7229" w:type="dxa"/>
            <w:vAlign w:val="center"/>
          </w:tcPr>
          <w:p w14:paraId="26A2CCD3" w14:textId="4E32FA06" w:rsidR="00601258" w:rsidRPr="00564105" w:rsidRDefault="00907735" w:rsidP="00907735">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2025年</w:t>
            </w:r>
            <w:r w:rsidR="009710E2">
              <w:rPr>
                <w:rFonts w:ascii="宋体" w:eastAsia="宋体" w:hAnsi="宋体" w:cs="宋体" w:hint="eastAsia"/>
                <w:sz w:val="24"/>
                <w:szCs w:val="24"/>
              </w:rPr>
              <w:t>1</w:t>
            </w:r>
            <w:r w:rsidR="00A47F99">
              <w:rPr>
                <w:rFonts w:ascii="宋体" w:eastAsia="宋体" w:hAnsi="宋体" w:cs="宋体"/>
                <w:sz w:val="24"/>
                <w:szCs w:val="24"/>
                <w:lang w:val="en-US"/>
              </w:rPr>
              <w:t>1</w:t>
            </w:r>
            <w:r w:rsidRPr="00564105">
              <w:rPr>
                <w:rFonts w:ascii="宋体" w:eastAsia="宋体" w:hAnsi="宋体" w:cs="宋体"/>
                <w:sz w:val="24"/>
                <w:szCs w:val="24"/>
              </w:rPr>
              <w:t>月</w:t>
            </w:r>
            <w:r w:rsidR="009710E2">
              <w:rPr>
                <w:rFonts w:ascii="宋体" w:eastAsia="宋体" w:hAnsi="宋体" w:cs="宋体" w:hint="eastAsia"/>
                <w:sz w:val="24"/>
                <w:szCs w:val="24"/>
              </w:rPr>
              <w:t>12</w:t>
            </w:r>
            <w:r w:rsidRPr="00564105">
              <w:rPr>
                <w:rFonts w:ascii="宋体" w:eastAsia="宋体" w:hAnsi="宋体" w:cs="宋体"/>
                <w:sz w:val="24"/>
                <w:szCs w:val="24"/>
              </w:rPr>
              <w:t>日 (周</w:t>
            </w:r>
            <w:r w:rsidR="009710E2">
              <w:rPr>
                <w:rFonts w:ascii="宋体" w:eastAsia="宋体" w:hAnsi="宋体" w:cs="宋体" w:hint="eastAsia"/>
                <w:sz w:val="24"/>
                <w:szCs w:val="24"/>
              </w:rPr>
              <w:t>三</w:t>
            </w:r>
            <w:r w:rsidRPr="00564105">
              <w:rPr>
                <w:rFonts w:ascii="宋体" w:eastAsia="宋体" w:hAnsi="宋体" w:cs="宋体"/>
                <w:sz w:val="24"/>
                <w:szCs w:val="24"/>
              </w:rPr>
              <w:t>) 下午 1</w:t>
            </w:r>
            <w:r w:rsidR="00366404">
              <w:rPr>
                <w:rFonts w:ascii="宋体" w:eastAsia="宋体" w:hAnsi="宋体" w:cs="宋体" w:hint="eastAsia"/>
                <w:sz w:val="24"/>
                <w:szCs w:val="24"/>
              </w:rPr>
              <w:t>5</w:t>
            </w:r>
            <w:r w:rsidRPr="00564105">
              <w:rPr>
                <w:rFonts w:ascii="宋体" w:eastAsia="宋体" w:hAnsi="宋体" w:cs="宋体"/>
                <w:sz w:val="24"/>
                <w:szCs w:val="24"/>
              </w:rPr>
              <w:t>:</w:t>
            </w:r>
            <w:r w:rsidR="00366404">
              <w:rPr>
                <w:rFonts w:ascii="宋体" w:eastAsia="宋体" w:hAnsi="宋体" w:cs="宋体" w:hint="eastAsia"/>
                <w:sz w:val="24"/>
                <w:szCs w:val="24"/>
              </w:rPr>
              <w:t>0</w:t>
            </w:r>
            <w:r w:rsidRPr="00564105">
              <w:rPr>
                <w:rFonts w:ascii="宋体" w:eastAsia="宋体" w:hAnsi="宋体" w:cs="宋体"/>
                <w:sz w:val="24"/>
                <w:szCs w:val="24"/>
              </w:rPr>
              <w:t>0</w:t>
            </w:r>
            <w:r w:rsidRPr="00564105">
              <w:rPr>
                <w:rFonts w:ascii="宋体" w:eastAsia="宋体" w:hAnsi="宋体" w:cs="宋体" w:hint="eastAsia"/>
                <w:sz w:val="24"/>
                <w:szCs w:val="24"/>
              </w:rPr>
              <w:t>-</w:t>
            </w:r>
            <w:r w:rsidRPr="00564105">
              <w:rPr>
                <w:rFonts w:ascii="宋体" w:eastAsia="宋体" w:hAnsi="宋体" w:cs="宋体"/>
                <w:sz w:val="24"/>
                <w:szCs w:val="24"/>
              </w:rPr>
              <w:t>1</w:t>
            </w:r>
            <w:r w:rsidR="00366404">
              <w:rPr>
                <w:rFonts w:ascii="宋体" w:eastAsia="宋体" w:hAnsi="宋体" w:cs="宋体" w:hint="eastAsia"/>
                <w:sz w:val="24"/>
                <w:szCs w:val="24"/>
              </w:rPr>
              <w:t>6</w:t>
            </w:r>
            <w:r w:rsidRPr="00564105">
              <w:rPr>
                <w:rFonts w:ascii="宋体" w:eastAsia="宋体" w:hAnsi="宋体" w:cs="宋体"/>
                <w:sz w:val="24"/>
                <w:szCs w:val="24"/>
              </w:rPr>
              <w:t>:00</w:t>
            </w:r>
          </w:p>
        </w:tc>
      </w:tr>
      <w:tr w:rsidR="00601258" w:rsidRPr="00564105" w14:paraId="4D9D170B" w14:textId="77777777" w:rsidTr="00366404">
        <w:trPr>
          <w:trHeight w:val="561"/>
          <w:jc w:val="center"/>
        </w:trPr>
        <w:tc>
          <w:tcPr>
            <w:tcW w:w="1980" w:type="dxa"/>
            <w:vAlign w:val="center"/>
          </w:tcPr>
          <w:p w14:paraId="3D952AD1" w14:textId="77777777" w:rsidR="00601258" w:rsidRPr="00564105" w:rsidRDefault="00000000">
            <w:pPr>
              <w:pStyle w:val="TableParagraph"/>
              <w:ind w:left="107"/>
              <w:rPr>
                <w:rFonts w:ascii="宋体" w:eastAsia="宋体" w:hAnsi="宋体" w:cs="宋体" w:hint="eastAsia"/>
                <w:b/>
                <w:bCs/>
                <w:sz w:val="24"/>
                <w:szCs w:val="24"/>
              </w:rPr>
            </w:pPr>
            <w:r w:rsidRPr="00564105">
              <w:rPr>
                <w:rFonts w:ascii="宋体" w:eastAsia="宋体" w:hAnsi="宋体" w:cs="宋体" w:hint="eastAsia"/>
                <w:b/>
                <w:bCs/>
                <w:sz w:val="24"/>
                <w:szCs w:val="24"/>
              </w:rPr>
              <w:t>地点</w:t>
            </w:r>
          </w:p>
        </w:tc>
        <w:tc>
          <w:tcPr>
            <w:tcW w:w="7229" w:type="dxa"/>
            <w:vAlign w:val="center"/>
          </w:tcPr>
          <w:p w14:paraId="5989A4B5" w14:textId="53A5C4C1" w:rsidR="00601258" w:rsidRPr="00564105" w:rsidRDefault="00366404">
            <w:pPr>
              <w:pStyle w:val="TableParagraph"/>
              <w:spacing w:before="100" w:beforeAutospacing="1" w:line="360" w:lineRule="auto"/>
              <w:rPr>
                <w:rFonts w:ascii="宋体" w:eastAsia="宋体" w:hAnsi="宋体" w:cs="宋体" w:hint="eastAsia"/>
                <w:sz w:val="24"/>
                <w:szCs w:val="24"/>
              </w:rPr>
            </w:pPr>
            <w:r w:rsidRPr="00692B29">
              <w:rPr>
                <w:rFonts w:ascii="宋体" w:eastAsia="宋体" w:hAnsi="宋体" w:cs="宋体"/>
                <w:sz w:val="24"/>
                <w:szCs w:val="24"/>
              </w:rPr>
              <w:t>价值在线（https://www.ir-online.cn/）网络互动</w:t>
            </w:r>
          </w:p>
        </w:tc>
      </w:tr>
      <w:tr w:rsidR="00601258" w:rsidRPr="00564105" w14:paraId="0BB7D542" w14:textId="77777777" w:rsidTr="00366404">
        <w:trPr>
          <w:trHeight w:val="558"/>
          <w:jc w:val="center"/>
        </w:trPr>
        <w:tc>
          <w:tcPr>
            <w:tcW w:w="1980" w:type="dxa"/>
            <w:vAlign w:val="center"/>
          </w:tcPr>
          <w:p w14:paraId="5B40C5CE"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上市公司接待人员姓名</w:t>
            </w:r>
          </w:p>
        </w:tc>
        <w:tc>
          <w:tcPr>
            <w:tcW w:w="7229" w:type="dxa"/>
            <w:vAlign w:val="center"/>
          </w:tcPr>
          <w:p w14:paraId="57A06664" w14:textId="75DA1519"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sz w:val="24"/>
                <w:szCs w:val="24"/>
              </w:rPr>
              <w:t>董事长</w:t>
            </w:r>
            <w:r w:rsidR="00A4140D">
              <w:rPr>
                <w:rFonts w:ascii="宋体" w:eastAsia="宋体" w:hAnsi="宋体" w:cs="宋体" w:hint="eastAsia"/>
                <w:sz w:val="24"/>
                <w:szCs w:val="24"/>
              </w:rPr>
              <w:t>：</w:t>
            </w:r>
            <w:r w:rsidRPr="00564105">
              <w:rPr>
                <w:rFonts w:ascii="宋体" w:eastAsia="宋体" w:hAnsi="宋体" w:cs="宋体"/>
                <w:sz w:val="24"/>
                <w:szCs w:val="24"/>
              </w:rPr>
              <w:t>林茂先生</w:t>
            </w:r>
            <w:r w:rsidRPr="00564105">
              <w:rPr>
                <w:rFonts w:ascii="宋体" w:eastAsia="宋体" w:hAnsi="宋体" w:cs="宋体"/>
                <w:sz w:val="24"/>
                <w:szCs w:val="24"/>
              </w:rPr>
              <w:br/>
              <w:t>独立董事</w:t>
            </w:r>
            <w:r w:rsidR="00A4140D">
              <w:rPr>
                <w:rFonts w:ascii="宋体" w:eastAsia="宋体" w:hAnsi="宋体" w:cs="宋体" w:hint="eastAsia"/>
                <w:sz w:val="24"/>
                <w:szCs w:val="24"/>
              </w:rPr>
              <w:t>：</w:t>
            </w:r>
            <w:r w:rsidR="009710E2">
              <w:rPr>
                <w:rFonts w:ascii="宋体" w:eastAsia="宋体" w:hAnsi="宋体" w:cs="宋体" w:hint="eastAsia"/>
                <w:sz w:val="24"/>
                <w:szCs w:val="24"/>
              </w:rPr>
              <w:t>吴育辉线上、</w:t>
            </w:r>
            <w:r w:rsidR="00366404" w:rsidRPr="00366404">
              <w:rPr>
                <w:rFonts w:ascii="宋体" w:eastAsia="宋体" w:hAnsi="宋体" w:cs="宋体" w:hint="eastAsia"/>
                <w:sz w:val="24"/>
                <w:szCs w:val="24"/>
              </w:rPr>
              <w:t>蔡宁女士、王艳艳女士</w:t>
            </w:r>
            <w:r w:rsidRPr="00564105">
              <w:rPr>
                <w:rFonts w:ascii="宋体" w:eastAsia="宋体" w:hAnsi="宋体" w:cs="宋体"/>
                <w:sz w:val="24"/>
                <w:szCs w:val="24"/>
              </w:rPr>
              <w:br/>
              <w:t>副总经理兼董事会秘书</w:t>
            </w:r>
            <w:r w:rsidR="00A4140D">
              <w:rPr>
                <w:rFonts w:ascii="宋体" w:eastAsia="宋体" w:hAnsi="宋体" w:cs="宋体" w:hint="eastAsia"/>
                <w:sz w:val="24"/>
                <w:szCs w:val="24"/>
              </w:rPr>
              <w:t>：</w:t>
            </w:r>
            <w:r w:rsidRPr="00564105">
              <w:rPr>
                <w:rFonts w:ascii="宋体" w:eastAsia="宋体" w:hAnsi="宋体" w:cs="宋体"/>
                <w:sz w:val="24"/>
                <w:szCs w:val="24"/>
              </w:rPr>
              <w:t>江桂芝女士</w:t>
            </w:r>
            <w:r w:rsidRPr="00564105">
              <w:rPr>
                <w:rFonts w:ascii="宋体" w:eastAsia="宋体" w:hAnsi="宋体" w:cs="宋体"/>
                <w:sz w:val="24"/>
                <w:szCs w:val="24"/>
              </w:rPr>
              <w:br/>
              <w:t>财务总监</w:t>
            </w:r>
            <w:r w:rsidR="00A4140D">
              <w:rPr>
                <w:rFonts w:ascii="宋体" w:eastAsia="宋体" w:hAnsi="宋体" w:cs="宋体" w:hint="eastAsia"/>
                <w:sz w:val="24"/>
                <w:szCs w:val="24"/>
              </w:rPr>
              <w:t>：</w:t>
            </w:r>
            <w:r w:rsidRPr="00564105">
              <w:rPr>
                <w:rFonts w:ascii="宋体" w:eastAsia="宋体" w:hAnsi="宋体" w:cs="宋体"/>
                <w:sz w:val="24"/>
                <w:szCs w:val="24"/>
              </w:rPr>
              <w:t>魏卓女士</w:t>
            </w:r>
          </w:p>
        </w:tc>
      </w:tr>
      <w:tr w:rsidR="00601258" w:rsidRPr="00564105" w14:paraId="4CE101DB" w14:textId="77777777" w:rsidTr="00366404">
        <w:trPr>
          <w:trHeight w:val="2800"/>
          <w:jc w:val="center"/>
        </w:trPr>
        <w:tc>
          <w:tcPr>
            <w:tcW w:w="1980" w:type="dxa"/>
          </w:tcPr>
          <w:p w14:paraId="240967BD" w14:textId="77777777" w:rsidR="00601258" w:rsidRPr="00564105" w:rsidRDefault="00601258">
            <w:pPr>
              <w:pStyle w:val="TableParagraph"/>
              <w:rPr>
                <w:rFonts w:ascii="宋体" w:eastAsia="宋体" w:hAnsi="宋体" w:cs="宋体" w:hint="eastAsia"/>
                <w:b/>
                <w:bCs/>
                <w:sz w:val="24"/>
                <w:szCs w:val="24"/>
              </w:rPr>
            </w:pPr>
          </w:p>
          <w:p w14:paraId="5EAA0121" w14:textId="77777777" w:rsidR="00601258" w:rsidRPr="00564105" w:rsidRDefault="00601258">
            <w:pPr>
              <w:pStyle w:val="TableParagraph"/>
              <w:rPr>
                <w:rFonts w:ascii="宋体" w:eastAsia="宋体" w:hAnsi="宋体" w:cs="宋体" w:hint="eastAsia"/>
                <w:b/>
                <w:bCs/>
                <w:sz w:val="24"/>
                <w:szCs w:val="24"/>
              </w:rPr>
            </w:pPr>
          </w:p>
          <w:p w14:paraId="7190E571" w14:textId="77777777" w:rsidR="00601258" w:rsidRPr="00564105" w:rsidRDefault="00601258">
            <w:pPr>
              <w:pStyle w:val="TableParagraph"/>
              <w:spacing w:before="5"/>
              <w:rPr>
                <w:rFonts w:ascii="宋体" w:eastAsia="宋体" w:hAnsi="宋体" w:cs="宋体" w:hint="eastAsia"/>
                <w:b/>
                <w:bCs/>
                <w:sz w:val="24"/>
                <w:szCs w:val="24"/>
              </w:rPr>
            </w:pPr>
          </w:p>
          <w:p w14:paraId="777271FC" w14:textId="77777777" w:rsidR="00601258" w:rsidRPr="00564105" w:rsidRDefault="00000000">
            <w:pPr>
              <w:pStyle w:val="TableParagraph"/>
              <w:spacing w:before="1" w:line="499" w:lineRule="auto"/>
              <w:ind w:left="107" w:right="96"/>
              <w:rPr>
                <w:rFonts w:ascii="宋体" w:eastAsia="宋体" w:hAnsi="宋体" w:cs="宋体" w:hint="eastAsia"/>
                <w:b/>
                <w:bCs/>
                <w:sz w:val="24"/>
                <w:szCs w:val="24"/>
              </w:rPr>
            </w:pPr>
            <w:r w:rsidRPr="00564105">
              <w:rPr>
                <w:rFonts w:ascii="宋体" w:eastAsia="宋体" w:hAnsi="宋体" w:cs="宋体" w:hint="eastAsia"/>
                <w:b/>
                <w:bCs/>
                <w:sz w:val="24"/>
                <w:szCs w:val="24"/>
              </w:rPr>
              <w:t>投资者关系活动主要内容介绍</w:t>
            </w:r>
          </w:p>
        </w:tc>
        <w:tc>
          <w:tcPr>
            <w:tcW w:w="7229" w:type="dxa"/>
          </w:tcPr>
          <w:p w14:paraId="5A7986E1"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公司供应链运营业务是业绩的奠基石，请问前三季度供应链运营业务业绩如何，哪些品种表现较好？</w:t>
            </w:r>
          </w:p>
          <w:p w14:paraId="03383E15"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答：2025年前三季度公司供应链运营业务实现归母净利润23.39亿元，较上年同期增加0.94亿元，同比增长4.21%，其中第三季度实现归母净利润9.19亿元，同比增长11.68%，相较第二季度环比增加3.47亿元，环比增长60.71%。</w:t>
            </w:r>
          </w:p>
          <w:p w14:paraId="1FB26507"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kern w:val="2"/>
                <w:sz w:val="24"/>
                <w:szCs w:val="24"/>
                <w:lang w:val="en-US" w:bidi="ar-SA"/>
                <w14:ligatures w14:val="standardContextual"/>
              </w:rPr>
              <w:tab/>
            </w:r>
            <w:r w:rsidRPr="009710E2">
              <w:rPr>
                <w:rFonts w:ascii="宋体" w:eastAsia="宋体" w:hAnsi="宋体" w:cs="宋体" w:hint="eastAsia"/>
                <w:kern w:val="2"/>
                <w:sz w:val="24"/>
                <w:szCs w:val="24"/>
                <w:lang w:val="en-US" w:bidi="ar-SA"/>
                <w14:ligatures w14:val="standardContextual"/>
              </w:rPr>
              <w:t>从经营货量角度看，前三季度公司经营的黑色金属、有色金属、矿产品、农产品、浆纸、能源化工产品等主要大宗商品的经营货量超1.5亿吨，继续保持增长，多个核心品类的市占率继续保持行业领先地位。此外消费品集团亦延续前期稳健增长的势头，成为公司供应链运营业务发展新动能。</w:t>
            </w:r>
          </w:p>
          <w:p w14:paraId="19DA7645"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6CF7EC70"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随着企业出海、产能出海，各个行业龙头都在探索海外布局拓展</w:t>
            </w:r>
            <w:r w:rsidRPr="009710E2">
              <w:rPr>
                <w:rFonts w:ascii="宋体" w:eastAsia="宋体" w:hAnsi="宋体" w:cs="宋体" w:hint="eastAsia"/>
                <w:b/>
                <w:bCs/>
                <w:kern w:val="2"/>
                <w:sz w:val="24"/>
                <w:szCs w:val="24"/>
                <w:lang w:val="en-US" w:bidi="ar-SA"/>
                <w14:ligatures w14:val="standardContextual"/>
              </w:rPr>
              <w:lastRenderedPageBreak/>
              <w:t>更大的市场空间，公司很有前瞻性，已经践行了多年的“走出去”战略，请问公司前三季度供应链运营业务在国际化拓展方面有什么最新的进展？</w:t>
            </w:r>
          </w:p>
          <w:p w14:paraId="7E366771"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建发股份致力于成为国际领先的供应链运营商，以“中国式商社，全球化建发”为品牌定位，坚持“国际化战略”，持续完善全球化供应链服务体系，拓展国际产业链资源，积极融入国内国际双循环新发展格局。2025年前三季度公司销售目的地为非中国大陆的海外业务规模为94.64亿美元，同比增长23.24%，同比增速较上半年进一步提升。</w:t>
            </w:r>
          </w:p>
          <w:p w14:paraId="082B437B" w14:textId="77777777" w:rsidR="009710E2" w:rsidRPr="009710E2" w:rsidRDefault="009710E2" w:rsidP="009710E2">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从业务拓展层面看，今年公司已陆续与多家知名企业达成海外市场开拓合作协议。2025年6月，建发股份与一汽解放签署战略合作协议，推动一汽解放国际化供应链协同发展；9月，建发股份与安徽江淮汽车集团股份有限公司签署战略合作协议，公司未来将通过自身全球供应链综合服务能力，与江汽集团携手加速品牌出海；10月，建发股份消费品集团旗下生活资材有限公司与云米科技签署战略合作备忘录，公司将依托自身资源禀赋与云米科技一同开拓海外市场，共建高韧性、可持续的全球产业生态。</w:t>
            </w:r>
          </w:p>
          <w:p w14:paraId="7EC868AC"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69648804"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推进数智供应链体系能够有效提升供应链效率，增强核心竞争力，请问公司供应链运营业务在数字化转型方面有哪些进展？</w:t>
            </w:r>
          </w:p>
          <w:p w14:paraId="50C2F345"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伴随AI等技术的快速迭代，各家供应链企业亟需强化自身数智化能力，2025年3月商务部等8部门联合印发了《加快数智供应链发展专项行动计划》，提出要运用人工智能、物联网、区块链等新技术，“一链一策”推进供应链数字化、智能化、可视化改造，到2030年，形成可复制推广的数智供应链建设和发展模式，在重要产业和关键领域基本建立深度嵌入、智慧高效、自主可控的数智供应链体系，培育100家左右全国数智供应链领军企业，进一步提升国家产业链供应链韧性和安全水平。</w:t>
            </w:r>
          </w:p>
          <w:p w14:paraId="61FB7488"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 xml:space="preserve">    建发股份长期致力于打造具有建发特色的数智化供应链服务体系，持续丰富产业互联网平台功能，助力产业链客商协同发展。公司</w:t>
            </w:r>
            <w:r w:rsidRPr="009710E2">
              <w:rPr>
                <w:rFonts w:ascii="宋体" w:eastAsia="宋体" w:hAnsi="宋体" w:cs="宋体" w:hint="eastAsia"/>
                <w:kern w:val="2"/>
                <w:sz w:val="24"/>
                <w:szCs w:val="24"/>
                <w:lang w:val="en-US" w:bidi="ar-SA"/>
                <w14:ligatures w14:val="standardContextual"/>
              </w:rPr>
              <w:lastRenderedPageBreak/>
              <w:t>目前已通过大数据、人工智能、物流网等技术开发建成“建发云钢”“纸源网”“浆易通”“农E点”等产业互联网平台，为客户提供涵盖行业资讯、智慧物流、供应链金融等领域的一站式供应链服务。2025年，建发浆纸开发的“纸源网”、“浆易通”平台成功入选商务部印发的《数智供应链案例集》。 此外，公司亦将数智化技术深度融入风控体系建设，持续优化涵盖信用、货权、价格、履约等关键风控要素的“E 风控”体系，基于体系沉淀的风控数据+AI 形成智能风控模型，形成“预防-预警-处置”全流程闭环管理，为供应链业务稳健运营提供保障。</w:t>
            </w:r>
          </w:p>
          <w:p w14:paraId="06B276C7"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7835CF4"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公司在有色金属、黑色金属等相关矿产资源板块的供应链业务经营情况如何？</w:t>
            </w:r>
          </w:p>
          <w:p w14:paraId="5591BA02"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建发股份围绕有色金属矿产、黑色金属矿产、新能源矿产、非金属矿产等核心品类，形成全链条、一体化、多元业务模式的矿产供应链运营能力。公司各类矿产品及金属制品年经营总量近2,000万吨，其中铜精矿年交易量近260万吨。</w:t>
            </w:r>
          </w:p>
          <w:p w14:paraId="5299AF80" w14:textId="77777777" w:rsidR="009710E2" w:rsidRPr="009710E2" w:rsidRDefault="009710E2" w:rsidP="009710E2">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在专业化方面，建发股份开发了“产区—加工—终端”一体化的矿产全产业链运营模式，实现供应链服务贯穿全程；在国际化方面，公司推进海外业务本土化运营，并积极与国际大型或境外本土优势物流供应商深化合作，多渠道布局海外关键物流节点；在数智化方面，公司依托“智能风控体系模型”、“智汇罗盘”供应链大数据分析平台、物流控制塔等创新应用，为供应链运营提质增效；在绿色化方面，公司通过开拓有色金属回收加工业务，有效降低能源消耗、延长资源生命周期。</w:t>
            </w:r>
          </w:p>
          <w:p w14:paraId="49F29214"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9DAE5F3"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公司积极拓展海外布局，海外客户很看重ESG方面的情况，请问公司ESG评级情况如何，ESG的评级能否为公司业务带来增益效果？</w:t>
            </w:r>
          </w:p>
          <w:p w14:paraId="5DB48F91"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答：公司在国内、国际ESG评级均取得良好成果：国内评级方面，公</w:t>
            </w:r>
            <w:r w:rsidRPr="009710E2">
              <w:rPr>
                <w:rFonts w:ascii="宋体" w:eastAsia="宋体" w:hAnsi="宋体" w:cs="宋体" w:hint="eastAsia"/>
                <w:kern w:val="2"/>
                <w:sz w:val="24"/>
                <w:szCs w:val="24"/>
                <w:lang w:val="en-US" w:bidi="ar-SA"/>
                <w14:ligatures w14:val="standardContextual"/>
              </w:rPr>
              <w:lastRenderedPageBreak/>
              <w:t>司入选了中国上市公司协会评选的“2025上市公司可持续发展最佳实践案例”；并获评“2024年度Wind 中国上市公司ESG最佳实践100强”；在华证指数ESG评级中获得A档评级，成为行业的标杆企业。国际评级方面，公司</w:t>
            </w:r>
            <w:bookmarkStart w:id="0" w:name="_Hlk213234917"/>
            <w:r w:rsidRPr="009710E2">
              <w:rPr>
                <w:rFonts w:ascii="宋体" w:eastAsia="宋体" w:hAnsi="宋体" w:cs="宋体" w:hint="eastAsia"/>
                <w:kern w:val="2"/>
                <w:sz w:val="24"/>
                <w:szCs w:val="24"/>
                <w:lang w:val="en-US" w:bidi="ar-SA"/>
                <w14:ligatures w14:val="standardContextual"/>
              </w:rPr>
              <w:t>近年来在标普全球企业可持续发展评估（CSA）和恒生可持续发展企业等指数中的评分/评级稳步提升。</w:t>
            </w:r>
            <w:bookmarkEnd w:id="0"/>
            <w:r w:rsidRPr="009710E2">
              <w:rPr>
                <w:rFonts w:ascii="宋体" w:eastAsia="宋体" w:hAnsi="宋体" w:cs="宋体" w:hint="eastAsia"/>
                <w:kern w:val="2"/>
                <w:sz w:val="24"/>
                <w:szCs w:val="24"/>
                <w:lang w:val="en-US" w:bidi="ar-SA"/>
                <w14:ligatures w14:val="standardContextual"/>
              </w:rPr>
              <w:t>公司ESG评级的提升有助于海外业务的拓展，提升国际品牌形象，增强市场准入优势。</w:t>
            </w:r>
          </w:p>
          <w:p w14:paraId="72F483EA"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2975AAD6"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公司房地产业务前三季度的销售情况怎么样？</w:t>
            </w:r>
          </w:p>
          <w:p w14:paraId="22278CEA" w14:textId="5541497B"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2025年前三季度，建发房产合同销售金额达到957.4亿元，同比增长12.6%，权益销售金额达到711.5亿，同比增长7.6%；同期联发集团合同销售金额达到194.5亿元，同比提升53.3%，权益销售金额达到128.4亿元，同比提升82.1%。</w:t>
            </w:r>
          </w:p>
          <w:p w14:paraId="6255B72F"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D617F89" w14:textId="5E4697FA" w:rsidR="009710E2" w:rsidRPr="009710E2" w:rsidRDefault="00366298"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366298">
              <w:rPr>
                <w:rFonts w:ascii="宋体" w:eastAsia="宋体" w:hAnsi="宋体" w:cs="宋体" w:hint="eastAsia"/>
                <w:b/>
                <w:bCs/>
                <w:kern w:val="2"/>
                <w:sz w:val="24"/>
                <w:szCs w:val="24"/>
                <w:lang w:val="en-US" w:bidi="ar-SA"/>
                <w14:ligatures w14:val="standardContextual"/>
              </w:rPr>
              <w:t>公司旗下</w:t>
            </w:r>
            <w:r w:rsidR="009710E2" w:rsidRPr="009710E2">
              <w:rPr>
                <w:rFonts w:ascii="宋体" w:eastAsia="宋体" w:hAnsi="宋体" w:cs="宋体" w:hint="eastAsia"/>
                <w:b/>
                <w:bCs/>
                <w:kern w:val="2"/>
                <w:sz w:val="24"/>
                <w:szCs w:val="24"/>
                <w:lang w:val="en-US" w:bidi="ar-SA"/>
                <w14:ligatures w14:val="standardContextual"/>
              </w:rPr>
              <w:t>两大房地产集团的品牌定位是怎么样的？</w:t>
            </w:r>
          </w:p>
          <w:p w14:paraId="70666F1A"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答：建发房产聚焦国内核心城市优质地段，今年以来陆续发布“好房子”体系框架、灯塔战略，并在北京、上海、厦门等城市落地了区位出色、产品力出众的灯塔项目，持续拉升品牌声浪，增强品牌美誉度。</w:t>
            </w:r>
          </w:p>
          <w:p w14:paraId="24C12B76" w14:textId="77777777" w:rsidR="009710E2" w:rsidRPr="009710E2" w:rsidRDefault="009710E2" w:rsidP="009710E2">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联发集团持续发力新青年战略，并于9月发布“新澍”产品系列，未来将围绕城市新青年的住房需求，在一、二线核心城市产业集群的片区，创新推出以60-80㎡为主力户型，兼具优总价、高品质、强运营和智慧化特征的产品，给年轻人提供第一套好房子。目前联发已在厦门、上海、南京、深圳推进6个新青年好房子样板项目。</w:t>
            </w:r>
          </w:p>
          <w:p w14:paraId="21AD20D1"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09D0A854"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公司联发集团销售情况今年有所好转，能否介绍一下联发集团近期采取了哪些有效举措？</w:t>
            </w:r>
          </w:p>
          <w:p w14:paraId="24D64D0C"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答：为积极应对外部挑战，联发集团近两年逐步增加一、二线城市的土地储备，积极推进库存去化，专注打磨差异化产品竞争力。得益于优质新盘上市，联发集团销售出现明显改善，2025年前三季度联发集</w:t>
            </w:r>
            <w:r w:rsidRPr="009710E2">
              <w:rPr>
                <w:rFonts w:ascii="宋体" w:eastAsia="宋体" w:hAnsi="宋体" w:cs="宋体" w:hint="eastAsia"/>
                <w:kern w:val="2"/>
                <w:sz w:val="24"/>
                <w:szCs w:val="24"/>
                <w:lang w:val="en-US" w:bidi="ar-SA"/>
                <w14:ligatures w14:val="standardContextual"/>
              </w:rPr>
              <w:lastRenderedPageBreak/>
              <w:t>团合同销售金额达到194.46亿元，同比提升53.31%；权益销售金额达到128.38亿元，同比提升82.07%。</w:t>
            </w:r>
          </w:p>
          <w:p w14:paraId="4C56977B"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0FE2685" w14:textId="77777777" w:rsidR="009710E2" w:rsidRPr="009710E2" w:rsidRDefault="009710E2" w:rsidP="009710E2">
            <w:pPr>
              <w:numPr>
                <w:ilvl w:val="0"/>
                <w:numId w:val="2"/>
              </w:numPr>
              <w:autoSpaceDE/>
              <w:autoSpaceDN/>
              <w:spacing w:line="360" w:lineRule="auto"/>
              <w:jc w:val="both"/>
              <w:outlineLvl w:val="0"/>
              <w:rPr>
                <w:rFonts w:ascii="宋体" w:eastAsia="宋体" w:hAnsi="宋体" w:cs="宋体" w:hint="eastAsia"/>
                <w:b/>
                <w:bCs/>
                <w:kern w:val="2"/>
                <w:sz w:val="24"/>
                <w:szCs w:val="24"/>
                <w:lang w:val="en-US" w:bidi="ar-SA"/>
                <w14:ligatures w14:val="standardContextual"/>
              </w:rPr>
            </w:pPr>
            <w:r w:rsidRPr="009710E2">
              <w:rPr>
                <w:rFonts w:ascii="宋体" w:eastAsia="宋体" w:hAnsi="宋体" w:cs="宋体" w:hint="eastAsia"/>
                <w:b/>
                <w:bCs/>
                <w:kern w:val="2"/>
                <w:sz w:val="24"/>
                <w:szCs w:val="24"/>
                <w:lang w:val="en-US" w:bidi="ar-SA"/>
                <w14:ligatures w14:val="standardContextual"/>
              </w:rPr>
              <w:t>公司后续对分红是如何考虑的，今年还会有中期分红吗？</w:t>
            </w:r>
          </w:p>
          <w:p w14:paraId="2118982E" w14:textId="77777777" w:rsidR="009710E2" w:rsidRPr="009710E2" w:rsidRDefault="009710E2" w:rsidP="009710E2">
            <w:pPr>
              <w:autoSpaceDE/>
              <w:autoSpaceDN/>
              <w:spacing w:line="360" w:lineRule="auto"/>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答：公司近年来积极尝试通过一年多次分红的方式及时地回报股东。展望2025年中期分红，在公司股东会已经对董事会进行授权的情况下，公司董事会后续将择期发布2025年度中期分红方案，预计公司2025年中期现金分红金额不低于相应期间归属于上市公司股东的净利润的30%，且不超过相应期间归属于上市公司股东的净利润。</w:t>
            </w:r>
          </w:p>
          <w:p w14:paraId="4792EAB6" w14:textId="77777777" w:rsidR="009710E2" w:rsidRPr="009710E2" w:rsidRDefault="009710E2" w:rsidP="009710E2">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此外，公司对2025年度的利润分配计划已经通过公告文件公开承诺：2025年度以现金方式分配的利润不少于当年实现的合并报表归属于上市公司股东的可供分配利润的30%，且每股分红不低于0.7元。</w:t>
            </w:r>
          </w:p>
          <w:p w14:paraId="6A432553" w14:textId="77777777" w:rsidR="009710E2" w:rsidRPr="009710E2" w:rsidRDefault="009710E2" w:rsidP="009710E2">
            <w:pPr>
              <w:autoSpaceDE/>
              <w:autoSpaceDN/>
              <w:spacing w:line="360" w:lineRule="auto"/>
              <w:ind w:firstLine="420"/>
              <w:jc w:val="both"/>
              <w:rPr>
                <w:rFonts w:ascii="宋体" w:eastAsia="宋体" w:hAnsi="宋体" w:cs="宋体" w:hint="eastAsia"/>
                <w:kern w:val="2"/>
                <w:sz w:val="24"/>
                <w:szCs w:val="24"/>
                <w:lang w:val="en-US" w:bidi="ar-SA"/>
                <w14:ligatures w14:val="standardContextual"/>
              </w:rPr>
            </w:pPr>
            <w:r w:rsidRPr="009710E2">
              <w:rPr>
                <w:rFonts w:ascii="宋体" w:eastAsia="宋体" w:hAnsi="宋体" w:cs="宋体" w:hint="eastAsia"/>
                <w:kern w:val="2"/>
                <w:sz w:val="24"/>
                <w:szCs w:val="24"/>
                <w:lang w:val="en-US" w:bidi="ar-SA"/>
                <w14:ligatures w14:val="standardContextual"/>
              </w:rPr>
              <w:t>建发股份高度重视股东回报，自上市以来累计分红金额已超190亿元，约为股权融资金额的3倍，“分红融资比”（现金分红金额/股权融资金额）位列全A股前4%。2022年以来公司分红比例持续提升，截至2025年10月末，公司股息率接近7%，位居全A股前0.5%。未来，公司将继续致力于维持稳定、持续和可预期的分红政策，为股东创造长期稳定的回报。</w:t>
            </w:r>
          </w:p>
          <w:p w14:paraId="7786A331" w14:textId="51D75E23" w:rsidR="00472DDD" w:rsidRPr="009710E2" w:rsidRDefault="00472DDD" w:rsidP="008C19CC">
            <w:pPr>
              <w:autoSpaceDE/>
              <w:autoSpaceDN/>
              <w:spacing w:line="360" w:lineRule="auto"/>
              <w:jc w:val="both"/>
              <w:rPr>
                <w:rFonts w:ascii="宋体" w:eastAsia="宋体" w:hAnsi="宋体" w:cs="宋体" w:hint="eastAsia"/>
                <w:kern w:val="2"/>
                <w:sz w:val="24"/>
                <w:szCs w:val="24"/>
                <w:lang w:val="en-US" w:bidi="ar-SA"/>
                <w14:ligatures w14:val="standardContextual"/>
              </w:rPr>
            </w:pPr>
          </w:p>
        </w:tc>
      </w:tr>
      <w:tr w:rsidR="00601258" w:rsidRPr="00564105" w14:paraId="1A4E9C20" w14:textId="77777777" w:rsidTr="00366404">
        <w:trPr>
          <w:trHeight w:val="999"/>
          <w:jc w:val="center"/>
        </w:trPr>
        <w:tc>
          <w:tcPr>
            <w:tcW w:w="1980" w:type="dxa"/>
            <w:vAlign w:val="center"/>
          </w:tcPr>
          <w:p w14:paraId="0159A84A" w14:textId="38CCA317" w:rsidR="00601258" w:rsidRPr="00564105" w:rsidRDefault="00000000" w:rsidP="006005EB">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lastRenderedPageBreak/>
              <w:t>关于本次活动是否涉及应披露重大信息的说明</w:t>
            </w:r>
          </w:p>
        </w:tc>
        <w:tc>
          <w:tcPr>
            <w:tcW w:w="7229" w:type="dxa"/>
            <w:vAlign w:val="center"/>
          </w:tcPr>
          <w:p w14:paraId="135A75CD" w14:textId="77777777" w:rsidR="00601258" w:rsidRPr="00564105" w:rsidRDefault="00000000">
            <w:pPr>
              <w:pStyle w:val="TableParagraph"/>
              <w:spacing w:before="100" w:beforeAutospacing="1" w:line="360" w:lineRule="auto"/>
              <w:rPr>
                <w:rFonts w:ascii="宋体" w:eastAsia="宋体" w:hAnsi="宋体" w:cs="宋体" w:hint="eastAsia"/>
                <w:sz w:val="24"/>
                <w:szCs w:val="24"/>
              </w:rPr>
            </w:pPr>
            <w:r w:rsidRPr="00564105">
              <w:rPr>
                <w:rFonts w:ascii="宋体" w:eastAsia="宋体" w:hAnsi="宋体" w:cs="宋体" w:hint="eastAsia"/>
                <w:sz w:val="24"/>
                <w:szCs w:val="24"/>
              </w:rPr>
              <w:t>本次活动不涉及未公开披露的重大信息。</w:t>
            </w:r>
          </w:p>
        </w:tc>
      </w:tr>
      <w:tr w:rsidR="00601258" w:rsidRPr="00564105" w14:paraId="7FB5722C" w14:textId="77777777" w:rsidTr="00366404">
        <w:trPr>
          <w:trHeight w:val="558"/>
          <w:jc w:val="center"/>
        </w:trPr>
        <w:tc>
          <w:tcPr>
            <w:tcW w:w="1980" w:type="dxa"/>
            <w:vAlign w:val="center"/>
          </w:tcPr>
          <w:p w14:paraId="11301518"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附件清单（如有）</w:t>
            </w:r>
          </w:p>
        </w:tc>
        <w:tc>
          <w:tcPr>
            <w:tcW w:w="7229" w:type="dxa"/>
            <w:vAlign w:val="center"/>
          </w:tcPr>
          <w:p w14:paraId="5E1CDFB4" w14:textId="77777777" w:rsidR="00601258" w:rsidRPr="00564105" w:rsidRDefault="00601258">
            <w:pPr>
              <w:pStyle w:val="TableParagraph"/>
              <w:spacing w:before="100" w:beforeAutospacing="1" w:line="360" w:lineRule="auto"/>
              <w:rPr>
                <w:rFonts w:ascii="宋体" w:eastAsia="宋体" w:hAnsi="宋体" w:cs="宋体" w:hint="eastAsia"/>
                <w:sz w:val="24"/>
                <w:szCs w:val="24"/>
              </w:rPr>
            </w:pPr>
          </w:p>
        </w:tc>
      </w:tr>
      <w:tr w:rsidR="00601258" w:rsidRPr="00564105" w14:paraId="42DCEC46" w14:textId="77777777" w:rsidTr="00366404">
        <w:trPr>
          <w:trHeight w:val="558"/>
          <w:jc w:val="center"/>
        </w:trPr>
        <w:tc>
          <w:tcPr>
            <w:tcW w:w="1980" w:type="dxa"/>
            <w:vAlign w:val="center"/>
          </w:tcPr>
          <w:p w14:paraId="1A4EC95A" w14:textId="77777777" w:rsidR="00601258" w:rsidRPr="00564105" w:rsidRDefault="00000000">
            <w:pPr>
              <w:pStyle w:val="TableParagraph"/>
              <w:spacing w:before="1"/>
              <w:ind w:left="107"/>
              <w:rPr>
                <w:rFonts w:ascii="宋体" w:eastAsia="宋体" w:hAnsi="宋体" w:cs="宋体" w:hint="eastAsia"/>
                <w:b/>
                <w:bCs/>
                <w:sz w:val="24"/>
                <w:szCs w:val="24"/>
              </w:rPr>
            </w:pPr>
            <w:r w:rsidRPr="00564105">
              <w:rPr>
                <w:rFonts w:ascii="宋体" w:eastAsia="宋体" w:hAnsi="宋体" w:cs="宋体" w:hint="eastAsia"/>
                <w:b/>
                <w:bCs/>
                <w:sz w:val="24"/>
                <w:szCs w:val="24"/>
              </w:rPr>
              <w:t>日期</w:t>
            </w:r>
          </w:p>
        </w:tc>
        <w:tc>
          <w:tcPr>
            <w:tcW w:w="7229" w:type="dxa"/>
            <w:vAlign w:val="center"/>
          </w:tcPr>
          <w:p w14:paraId="05095A0D" w14:textId="3C98B3F5" w:rsidR="00601258" w:rsidRPr="00564105" w:rsidRDefault="00000000">
            <w:pPr>
              <w:pStyle w:val="TableParagraph"/>
              <w:spacing w:before="100" w:beforeAutospacing="1"/>
              <w:rPr>
                <w:rFonts w:ascii="宋体" w:eastAsia="宋体" w:hAnsi="宋体" w:cs="宋体" w:hint="eastAsia"/>
                <w:sz w:val="24"/>
                <w:szCs w:val="24"/>
              </w:rPr>
            </w:pPr>
            <w:r w:rsidRPr="00564105">
              <w:rPr>
                <w:rFonts w:ascii="宋体" w:eastAsia="宋体" w:hAnsi="宋体" w:cs="宋体"/>
                <w:sz w:val="24"/>
                <w:szCs w:val="24"/>
              </w:rPr>
              <w:t>202</w:t>
            </w:r>
            <w:r w:rsidR="00E37A6F">
              <w:rPr>
                <w:rFonts w:ascii="宋体" w:eastAsia="宋体" w:hAnsi="宋体" w:cs="宋体" w:hint="eastAsia"/>
                <w:sz w:val="24"/>
                <w:szCs w:val="24"/>
              </w:rPr>
              <w:t>5</w:t>
            </w:r>
            <w:r w:rsidRPr="00564105">
              <w:rPr>
                <w:rFonts w:ascii="宋体" w:eastAsia="宋体" w:hAnsi="宋体" w:cs="宋体"/>
                <w:sz w:val="24"/>
                <w:szCs w:val="24"/>
              </w:rPr>
              <w:t>年</w:t>
            </w:r>
            <w:r w:rsidR="00EB27CA">
              <w:rPr>
                <w:rFonts w:ascii="宋体" w:eastAsia="宋体" w:hAnsi="宋体" w:cs="宋体" w:hint="eastAsia"/>
                <w:sz w:val="24"/>
                <w:szCs w:val="24"/>
              </w:rPr>
              <w:t>11</w:t>
            </w:r>
            <w:r w:rsidRPr="00564105">
              <w:rPr>
                <w:rFonts w:ascii="宋体" w:eastAsia="宋体" w:hAnsi="宋体" w:cs="宋体"/>
                <w:sz w:val="24"/>
                <w:szCs w:val="24"/>
              </w:rPr>
              <w:t>月</w:t>
            </w:r>
            <w:r w:rsidR="00EB27CA">
              <w:rPr>
                <w:rFonts w:ascii="宋体" w:eastAsia="宋体" w:hAnsi="宋体" w:cs="宋体" w:hint="eastAsia"/>
                <w:sz w:val="24"/>
                <w:szCs w:val="24"/>
              </w:rPr>
              <w:t>12</w:t>
            </w:r>
            <w:r w:rsidRPr="00564105">
              <w:rPr>
                <w:rFonts w:ascii="宋体" w:eastAsia="宋体" w:hAnsi="宋体" w:cs="宋体"/>
                <w:sz w:val="24"/>
                <w:szCs w:val="24"/>
              </w:rPr>
              <w:t>日</w:t>
            </w:r>
          </w:p>
        </w:tc>
      </w:tr>
    </w:tbl>
    <w:p w14:paraId="3225B82F" w14:textId="77777777" w:rsidR="00601258" w:rsidRPr="00562BE4" w:rsidRDefault="00601258">
      <w:pPr>
        <w:rPr>
          <w:rFonts w:ascii="宋体" w:eastAsia="宋体" w:hAnsi="宋体" w:cs="宋体" w:hint="eastAsia"/>
          <w:sz w:val="24"/>
          <w:szCs w:val="24"/>
        </w:rPr>
      </w:pPr>
    </w:p>
    <w:sectPr w:rsidR="00601258" w:rsidRPr="00562BE4">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62EA" w14:textId="77777777" w:rsidR="00F96F33" w:rsidRDefault="00F96F33" w:rsidP="00562BE4">
      <w:pPr>
        <w:rPr>
          <w:rFonts w:hint="eastAsia"/>
        </w:rPr>
      </w:pPr>
      <w:r>
        <w:separator/>
      </w:r>
    </w:p>
  </w:endnote>
  <w:endnote w:type="continuationSeparator" w:id="0">
    <w:p w14:paraId="6ED40918" w14:textId="77777777" w:rsidR="00F96F33" w:rsidRDefault="00F96F33" w:rsidP="00562B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docPartObj>
        <w:docPartGallery w:val="Page Numbers (Bottom of Page)"/>
        <w:docPartUnique/>
      </w:docPartObj>
    </w:sdtPr>
    <w:sdtContent>
      <w:p w14:paraId="49DB1319" w14:textId="71EF8D3C" w:rsidR="00551C8A" w:rsidRDefault="00551C8A">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551C8A" w:rsidRDefault="00551C8A">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D59D" w14:textId="77777777" w:rsidR="00F96F33" w:rsidRDefault="00F96F33" w:rsidP="00562BE4">
      <w:pPr>
        <w:rPr>
          <w:rFonts w:hint="eastAsia"/>
        </w:rPr>
      </w:pPr>
      <w:r>
        <w:separator/>
      </w:r>
    </w:p>
  </w:footnote>
  <w:footnote w:type="continuationSeparator" w:id="0">
    <w:p w14:paraId="317795C6" w14:textId="77777777" w:rsidR="00F96F33" w:rsidRDefault="00F96F33" w:rsidP="00562B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0893"/>
    <w:multiLevelType w:val="hybridMultilevel"/>
    <w:tmpl w:val="740A371E"/>
    <w:lvl w:ilvl="0" w:tplc="A510E3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D0244AC"/>
    <w:multiLevelType w:val="hybridMultilevel"/>
    <w:tmpl w:val="0284FB3A"/>
    <w:lvl w:ilvl="0" w:tplc="2E14F9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58642267">
    <w:abstractNumId w:val="0"/>
  </w:num>
  <w:num w:numId="2" w16cid:durableId="124488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301D32"/>
    <w:rsid w:val="000143AF"/>
    <w:rsid w:val="00026CC3"/>
    <w:rsid w:val="00036089"/>
    <w:rsid w:val="00036F2C"/>
    <w:rsid w:val="00041AA3"/>
    <w:rsid w:val="00053CFA"/>
    <w:rsid w:val="000633EC"/>
    <w:rsid w:val="00063804"/>
    <w:rsid w:val="000665A2"/>
    <w:rsid w:val="000877AB"/>
    <w:rsid w:val="00097588"/>
    <w:rsid w:val="000B7C08"/>
    <w:rsid w:val="000D12CF"/>
    <w:rsid w:val="000D2D88"/>
    <w:rsid w:val="000E4B20"/>
    <w:rsid w:val="0011418F"/>
    <w:rsid w:val="0013771D"/>
    <w:rsid w:val="00165EA3"/>
    <w:rsid w:val="00172C24"/>
    <w:rsid w:val="00183A82"/>
    <w:rsid w:val="001E20AB"/>
    <w:rsid w:val="001E59D1"/>
    <w:rsid w:val="001E5EA4"/>
    <w:rsid w:val="002042A7"/>
    <w:rsid w:val="00205911"/>
    <w:rsid w:val="002146AD"/>
    <w:rsid w:val="00222A5F"/>
    <w:rsid w:val="00275CB6"/>
    <w:rsid w:val="002800B5"/>
    <w:rsid w:val="00281EBF"/>
    <w:rsid w:val="00295B29"/>
    <w:rsid w:val="002B4F90"/>
    <w:rsid w:val="002D0171"/>
    <w:rsid w:val="002D047D"/>
    <w:rsid w:val="002D4073"/>
    <w:rsid w:val="002E7098"/>
    <w:rsid w:val="00301D32"/>
    <w:rsid w:val="00366298"/>
    <w:rsid w:val="00366404"/>
    <w:rsid w:val="00366FAD"/>
    <w:rsid w:val="0037105B"/>
    <w:rsid w:val="003975BA"/>
    <w:rsid w:val="003A74E6"/>
    <w:rsid w:val="003B73DD"/>
    <w:rsid w:val="003D011C"/>
    <w:rsid w:val="003F10B7"/>
    <w:rsid w:val="004108C7"/>
    <w:rsid w:val="00412DC2"/>
    <w:rsid w:val="00440041"/>
    <w:rsid w:val="00451268"/>
    <w:rsid w:val="004515AD"/>
    <w:rsid w:val="00451857"/>
    <w:rsid w:val="00453516"/>
    <w:rsid w:val="00457548"/>
    <w:rsid w:val="0047023A"/>
    <w:rsid w:val="00470DB2"/>
    <w:rsid w:val="00472DDD"/>
    <w:rsid w:val="004925E7"/>
    <w:rsid w:val="00495B11"/>
    <w:rsid w:val="004C08DE"/>
    <w:rsid w:val="004D2646"/>
    <w:rsid w:val="004F6FF3"/>
    <w:rsid w:val="0053283A"/>
    <w:rsid w:val="00551C8A"/>
    <w:rsid w:val="00562BE4"/>
    <w:rsid w:val="00564105"/>
    <w:rsid w:val="00570CB2"/>
    <w:rsid w:val="00571B49"/>
    <w:rsid w:val="005743AE"/>
    <w:rsid w:val="005D64CA"/>
    <w:rsid w:val="005E5717"/>
    <w:rsid w:val="005E6DB2"/>
    <w:rsid w:val="006005EB"/>
    <w:rsid w:val="00601258"/>
    <w:rsid w:val="0061433E"/>
    <w:rsid w:val="0062751D"/>
    <w:rsid w:val="006354AA"/>
    <w:rsid w:val="00661AFA"/>
    <w:rsid w:val="00662DC2"/>
    <w:rsid w:val="006726BF"/>
    <w:rsid w:val="00672A58"/>
    <w:rsid w:val="00677B77"/>
    <w:rsid w:val="0068718A"/>
    <w:rsid w:val="006A2739"/>
    <w:rsid w:val="006B5C95"/>
    <w:rsid w:val="006E14B0"/>
    <w:rsid w:val="006F0108"/>
    <w:rsid w:val="00704AE6"/>
    <w:rsid w:val="007153A2"/>
    <w:rsid w:val="00724A68"/>
    <w:rsid w:val="007271BF"/>
    <w:rsid w:val="00730DD3"/>
    <w:rsid w:val="00733224"/>
    <w:rsid w:val="0076051B"/>
    <w:rsid w:val="00763F67"/>
    <w:rsid w:val="00764128"/>
    <w:rsid w:val="007824B8"/>
    <w:rsid w:val="007910DD"/>
    <w:rsid w:val="007926C6"/>
    <w:rsid w:val="007A3EC1"/>
    <w:rsid w:val="007B3368"/>
    <w:rsid w:val="007C6DA5"/>
    <w:rsid w:val="007D0A69"/>
    <w:rsid w:val="007D2094"/>
    <w:rsid w:val="007D6DC4"/>
    <w:rsid w:val="008300A4"/>
    <w:rsid w:val="0084425F"/>
    <w:rsid w:val="00853463"/>
    <w:rsid w:val="00893F25"/>
    <w:rsid w:val="00895035"/>
    <w:rsid w:val="008B2B14"/>
    <w:rsid w:val="008C19CC"/>
    <w:rsid w:val="008C6AED"/>
    <w:rsid w:val="008C7604"/>
    <w:rsid w:val="008E1B27"/>
    <w:rsid w:val="008F2591"/>
    <w:rsid w:val="00903379"/>
    <w:rsid w:val="00906975"/>
    <w:rsid w:val="00907735"/>
    <w:rsid w:val="00917F0B"/>
    <w:rsid w:val="00917F8B"/>
    <w:rsid w:val="00960964"/>
    <w:rsid w:val="00965E4D"/>
    <w:rsid w:val="009710E2"/>
    <w:rsid w:val="00997301"/>
    <w:rsid w:val="009B1D5C"/>
    <w:rsid w:val="009C2E31"/>
    <w:rsid w:val="009E1955"/>
    <w:rsid w:val="00A4140D"/>
    <w:rsid w:val="00A476C0"/>
    <w:rsid w:val="00A47F99"/>
    <w:rsid w:val="00A527AA"/>
    <w:rsid w:val="00A5684D"/>
    <w:rsid w:val="00A75C61"/>
    <w:rsid w:val="00A9601B"/>
    <w:rsid w:val="00AD100E"/>
    <w:rsid w:val="00AE1E36"/>
    <w:rsid w:val="00AF442F"/>
    <w:rsid w:val="00AF6AEB"/>
    <w:rsid w:val="00AF74AA"/>
    <w:rsid w:val="00B03C2F"/>
    <w:rsid w:val="00B15064"/>
    <w:rsid w:val="00B340A3"/>
    <w:rsid w:val="00B410F5"/>
    <w:rsid w:val="00B459D8"/>
    <w:rsid w:val="00B6280C"/>
    <w:rsid w:val="00B671A4"/>
    <w:rsid w:val="00B72CD4"/>
    <w:rsid w:val="00B85B00"/>
    <w:rsid w:val="00B92A04"/>
    <w:rsid w:val="00B94215"/>
    <w:rsid w:val="00BF132F"/>
    <w:rsid w:val="00C13878"/>
    <w:rsid w:val="00CA1705"/>
    <w:rsid w:val="00CA1896"/>
    <w:rsid w:val="00CE1A54"/>
    <w:rsid w:val="00CF5FB6"/>
    <w:rsid w:val="00D02518"/>
    <w:rsid w:val="00D03D2F"/>
    <w:rsid w:val="00D126A0"/>
    <w:rsid w:val="00D17454"/>
    <w:rsid w:val="00D33FBC"/>
    <w:rsid w:val="00D4395B"/>
    <w:rsid w:val="00D7535C"/>
    <w:rsid w:val="00D76302"/>
    <w:rsid w:val="00DA5CE2"/>
    <w:rsid w:val="00DC66F4"/>
    <w:rsid w:val="00DE10E8"/>
    <w:rsid w:val="00DF2DF3"/>
    <w:rsid w:val="00E16FDA"/>
    <w:rsid w:val="00E35F58"/>
    <w:rsid w:val="00E37A6F"/>
    <w:rsid w:val="00E45BD9"/>
    <w:rsid w:val="00E66FFC"/>
    <w:rsid w:val="00E759D6"/>
    <w:rsid w:val="00E84A8C"/>
    <w:rsid w:val="00E976DE"/>
    <w:rsid w:val="00EB27CA"/>
    <w:rsid w:val="00EC0F83"/>
    <w:rsid w:val="00EE3187"/>
    <w:rsid w:val="00EF0E85"/>
    <w:rsid w:val="00EF499B"/>
    <w:rsid w:val="00F14977"/>
    <w:rsid w:val="00F242AC"/>
    <w:rsid w:val="00F53E66"/>
    <w:rsid w:val="00F96F33"/>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6203B4"/>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6F0D"/>
  <w15:docId w15:val="{81C62A85-AA0B-4804-AB64-EC3BEC9B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rsid w:val="0056410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rsid w:val="002D0171"/>
    <w:rPr>
      <w:rFonts w:ascii="PMingLiU" w:eastAsia="PMingLiU" w:hAnsi="PMingLiU" w:cs="PMingLiU"/>
      <w:sz w:val="44"/>
      <w:szCs w:val="44"/>
      <w:lang w:val="zh-CN" w:bidi="zh-CN"/>
    </w:rPr>
  </w:style>
  <w:style w:type="character" w:customStyle="1" w:styleId="20">
    <w:name w:val="标题 2 字符"/>
    <w:basedOn w:val="a0"/>
    <w:link w:val="2"/>
    <w:uiPriority w:val="9"/>
    <w:rsid w:val="00564105"/>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rsid w:val="00564105"/>
    <w:pPr>
      <w:autoSpaceDE/>
      <w:autoSpaceDN/>
      <w:ind w:firstLineChars="200" w:firstLine="420"/>
      <w:jc w:val="both"/>
    </w:pPr>
    <w:rPr>
      <w:rFonts w:ascii="Calibri" w:eastAsia="宋体" w:hAnsi="Calibri" w:cs="Times New Roman"/>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邓攀</cp:lastModifiedBy>
  <cp:revision>32</cp:revision>
  <dcterms:created xsi:type="dcterms:W3CDTF">2022-04-12T06:10:00Z</dcterms:created>
  <dcterms:modified xsi:type="dcterms:W3CDTF">2025-11-13T06:52:00Z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