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13A76" w14:textId="77777777" w:rsidR="008E565A" w:rsidRDefault="00AA57CC">
      <w:pPr>
        <w:pStyle w:val="a5"/>
        <w:tabs>
          <w:tab w:val="left" w:pos="6071"/>
        </w:tabs>
        <w:spacing w:line="360" w:lineRule="auto"/>
        <w:ind w:left="0" w:right="222"/>
        <w:jc w:val="right"/>
        <w:rPr>
          <w:lang w:eastAsia="zh-CN"/>
        </w:rPr>
      </w:pPr>
      <w:r>
        <w:rPr>
          <w:rFonts w:hint="eastAsia"/>
          <w:lang w:eastAsia="zh-CN"/>
        </w:rPr>
        <w:t>证券代码</w:t>
      </w:r>
      <w:r>
        <w:rPr>
          <w:rFonts w:hint="eastAsia"/>
          <w:spacing w:val="-48"/>
          <w:lang w:eastAsia="zh-CN"/>
        </w:rPr>
        <w:t>：</w:t>
      </w:r>
      <w:r>
        <w:rPr>
          <w:rFonts w:cs="宋体" w:hint="eastAsia"/>
          <w:lang w:eastAsia="zh-CN"/>
        </w:rPr>
        <w:t>600061</w:t>
      </w:r>
      <w:r>
        <w:rPr>
          <w:rFonts w:cs="宋体"/>
          <w:lang w:eastAsia="zh-CN"/>
        </w:rPr>
        <w:t xml:space="preserve">                                  </w:t>
      </w:r>
      <w:r>
        <w:rPr>
          <w:rFonts w:hint="eastAsia"/>
          <w:lang w:eastAsia="zh-CN"/>
        </w:rPr>
        <w:t>证券简称</w:t>
      </w:r>
      <w:r>
        <w:rPr>
          <w:rFonts w:hint="eastAsia"/>
          <w:spacing w:val="-48"/>
          <w:lang w:eastAsia="zh-CN"/>
        </w:rPr>
        <w:t>：</w:t>
      </w:r>
      <w:r>
        <w:rPr>
          <w:rFonts w:hint="eastAsia"/>
          <w:lang w:eastAsia="zh-CN"/>
        </w:rPr>
        <w:t>国投资本</w:t>
      </w:r>
    </w:p>
    <w:p w14:paraId="7194CE78" w14:textId="77777777" w:rsidR="008E565A" w:rsidRDefault="008E565A">
      <w:pPr>
        <w:spacing w:line="360" w:lineRule="auto"/>
        <w:rPr>
          <w:sz w:val="20"/>
          <w:szCs w:val="20"/>
          <w:lang w:eastAsia="zh-CN"/>
        </w:rPr>
      </w:pPr>
    </w:p>
    <w:p w14:paraId="16FC8782" w14:textId="77777777" w:rsidR="008E565A" w:rsidRDefault="00AA57CC">
      <w:pPr>
        <w:spacing w:line="360" w:lineRule="auto"/>
        <w:jc w:val="center"/>
        <w:rPr>
          <w:rFonts w:ascii="宋体" w:eastAsia="宋体" w:hAnsi="宋体" w:cs="宋体"/>
          <w:sz w:val="32"/>
          <w:szCs w:val="32"/>
          <w:lang w:eastAsia="zh-CN"/>
        </w:rPr>
      </w:pPr>
      <w:r>
        <w:rPr>
          <w:rFonts w:ascii="宋体" w:eastAsia="宋体" w:hAnsi="宋体" w:cs="宋体" w:hint="eastAsia"/>
          <w:spacing w:val="2"/>
          <w:sz w:val="32"/>
          <w:szCs w:val="32"/>
          <w:lang w:eastAsia="zh-CN"/>
        </w:rPr>
        <w:t>国投资本股份</w:t>
      </w:r>
      <w:r>
        <w:rPr>
          <w:rFonts w:ascii="宋体" w:eastAsia="宋体" w:hAnsi="宋体" w:cs="宋体" w:hint="eastAsia"/>
          <w:sz w:val="32"/>
          <w:szCs w:val="32"/>
          <w:lang w:eastAsia="zh-CN"/>
        </w:rPr>
        <w:t>有</w:t>
      </w:r>
      <w:r>
        <w:rPr>
          <w:rFonts w:ascii="宋体" w:eastAsia="宋体" w:hAnsi="宋体" w:cs="宋体" w:hint="eastAsia"/>
          <w:spacing w:val="2"/>
          <w:sz w:val="32"/>
          <w:szCs w:val="32"/>
          <w:lang w:eastAsia="zh-CN"/>
        </w:rPr>
        <w:t>限公司投资者</w:t>
      </w:r>
      <w:r>
        <w:rPr>
          <w:rFonts w:ascii="宋体" w:eastAsia="宋体" w:hAnsi="宋体" w:cs="宋体" w:hint="eastAsia"/>
          <w:sz w:val="32"/>
          <w:szCs w:val="32"/>
          <w:lang w:eastAsia="zh-CN"/>
        </w:rPr>
        <w:t>关</w:t>
      </w:r>
      <w:r>
        <w:rPr>
          <w:rFonts w:ascii="宋体" w:eastAsia="宋体" w:hAnsi="宋体" w:cs="宋体" w:hint="eastAsia"/>
          <w:spacing w:val="2"/>
          <w:sz w:val="32"/>
          <w:szCs w:val="32"/>
          <w:lang w:eastAsia="zh-CN"/>
        </w:rPr>
        <w:t>系活动记录</w:t>
      </w:r>
      <w:r>
        <w:rPr>
          <w:rFonts w:ascii="宋体" w:eastAsia="宋体" w:hAnsi="宋体" w:cs="宋体" w:hint="eastAsia"/>
          <w:sz w:val="32"/>
          <w:szCs w:val="32"/>
          <w:lang w:eastAsia="zh-CN"/>
        </w:rPr>
        <w:t>表</w:t>
      </w:r>
    </w:p>
    <w:p w14:paraId="3B5D13C1" w14:textId="77777777" w:rsidR="008E565A" w:rsidRDefault="008E565A">
      <w:pPr>
        <w:spacing w:line="360" w:lineRule="auto"/>
        <w:jc w:val="both"/>
        <w:rPr>
          <w:rFonts w:ascii="宋体" w:eastAsia="宋体" w:hAnsi="宋体" w:cs="宋体"/>
          <w:sz w:val="24"/>
          <w:szCs w:val="24"/>
          <w:lang w:eastAsia="zh-CN"/>
        </w:rPr>
      </w:pPr>
    </w:p>
    <w:tbl>
      <w:tblPr>
        <w:tblStyle w:val="ae"/>
        <w:tblW w:w="4999" w:type="pct"/>
        <w:jc w:val="center"/>
        <w:tblLook w:val="04A0" w:firstRow="1" w:lastRow="0" w:firstColumn="1" w:lastColumn="0" w:noHBand="0" w:noVBand="1"/>
      </w:tblPr>
      <w:tblGrid>
        <w:gridCol w:w="1286"/>
        <w:gridCol w:w="7008"/>
      </w:tblGrid>
      <w:tr w:rsidR="008E565A" w14:paraId="184BEC99" w14:textId="77777777">
        <w:trPr>
          <w:trHeight w:val="2075"/>
          <w:jc w:val="center"/>
        </w:trPr>
        <w:tc>
          <w:tcPr>
            <w:tcW w:w="775" w:type="pct"/>
            <w:vAlign w:val="center"/>
          </w:tcPr>
          <w:p w14:paraId="0EC098E5" w14:textId="77777777" w:rsidR="008E565A" w:rsidRDefault="00AA57CC">
            <w:pPr>
              <w:pStyle w:val="TableParagraph"/>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投资者关系</w:t>
            </w:r>
            <w:r>
              <w:rPr>
                <w:rFonts w:ascii="宋体" w:eastAsia="宋体" w:hAnsi="宋体" w:cs="宋体"/>
                <w:sz w:val="24"/>
                <w:szCs w:val="24"/>
                <w:lang w:eastAsia="zh-CN"/>
              </w:rPr>
              <w:t>活动</w:t>
            </w:r>
            <w:r>
              <w:rPr>
                <w:rFonts w:ascii="宋体" w:eastAsia="宋体" w:hAnsi="宋体" w:cs="宋体" w:hint="eastAsia"/>
                <w:sz w:val="24"/>
                <w:szCs w:val="24"/>
                <w:lang w:eastAsia="zh-CN"/>
              </w:rPr>
              <w:t>类别</w:t>
            </w:r>
          </w:p>
        </w:tc>
        <w:tc>
          <w:tcPr>
            <w:tcW w:w="4224" w:type="pct"/>
            <w:vAlign w:val="center"/>
          </w:tcPr>
          <w:p w14:paraId="48325E87" w14:textId="77777777" w:rsidR="008E565A" w:rsidRDefault="00AA57CC">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特定对象调研</w:t>
            </w:r>
            <w:r>
              <w:rPr>
                <w:rFonts w:ascii="宋体" w:eastAsia="宋体" w:hAnsi="宋体" w:cs="宋体" w:hint="eastAsia"/>
                <w:sz w:val="24"/>
                <w:szCs w:val="24"/>
                <w:lang w:eastAsia="zh-CN"/>
              </w:rPr>
              <w:tab/>
              <w:t>□ 分析师会议</w:t>
            </w:r>
          </w:p>
          <w:p w14:paraId="3D86CB51" w14:textId="77777777" w:rsidR="008E565A" w:rsidRDefault="00AA57CC">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xml:space="preserve">□ 媒体采访 </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ab/>
              <w:t>□ 业绩说明会</w:t>
            </w:r>
          </w:p>
          <w:p w14:paraId="0FD8A0CD" w14:textId="77777777" w:rsidR="008E565A" w:rsidRDefault="00AA57CC">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新闻发布会</w:t>
            </w:r>
            <w:r>
              <w:rPr>
                <w:rFonts w:ascii="宋体" w:eastAsia="宋体" w:hAnsi="宋体" w:cs="宋体" w:hint="eastAsia"/>
                <w:sz w:val="24"/>
                <w:szCs w:val="24"/>
                <w:lang w:eastAsia="zh-CN"/>
              </w:rPr>
              <w:tab/>
              <w:t xml:space="preserve">□ 现场参观 </w:t>
            </w:r>
          </w:p>
          <w:p w14:paraId="3043CF00" w14:textId="77777777" w:rsidR="008E565A" w:rsidRDefault="00AA57CC">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 xml:space="preserve">路演活动 </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ab/>
              <w:t>□</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一对一沟通</w:t>
            </w:r>
          </w:p>
          <w:p w14:paraId="0B80A4D6" w14:textId="77777777" w:rsidR="008E565A" w:rsidRDefault="00AA57CC">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其他_</w:t>
            </w:r>
            <w:r>
              <w:rPr>
                <w:rFonts w:ascii="宋体" w:eastAsia="宋体" w:hAnsi="宋体" w:cs="宋体"/>
                <w:sz w:val="24"/>
                <w:szCs w:val="24"/>
                <w:lang w:eastAsia="zh-CN"/>
              </w:rPr>
              <w:t>___________</w:t>
            </w:r>
            <w:r>
              <w:rPr>
                <w:rFonts w:ascii="宋体" w:eastAsia="宋体" w:hAnsi="宋体" w:cs="宋体" w:hint="eastAsia"/>
                <w:sz w:val="24"/>
                <w:szCs w:val="24"/>
                <w:lang w:eastAsia="zh-CN"/>
              </w:rPr>
              <w:t xml:space="preserve"> </w:t>
            </w:r>
          </w:p>
        </w:tc>
      </w:tr>
      <w:tr w:rsidR="008E565A" w14:paraId="22FFAFCD" w14:textId="77777777">
        <w:trPr>
          <w:trHeight w:val="416"/>
          <w:jc w:val="center"/>
        </w:trPr>
        <w:tc>
          <w:tcPr>
            <w:tcW w:w="775" w:type="pct"/>
            <w:vAlign w:val="center"/>
          </w:tcPr>
          <w:p w14:paraId="47E9462F" w14:textId="77777777" w:rsidR="008E565A" w:rsidRDefault="00AA57CC">
            <w:pPr>
              <w:pStyle w:val="TableParagraph"/>
              <w:spacing w:line="360" w:lineRule="auto"/>
              <w:jc w:val="center"/>
              <w:rPr>
                <w:rFonts w:ascii="宋体" w:eastAsia="宋体" w:hAnsi="宋体" w:cs="宋体"/>
                <w:spacing w:val="2"/>
                <w:sz w:val="24"/>
                <w:szCs w:val="24"/>
              </w:rPr>
            </w:pPr>
            <w:r>
              <w:rPr>
                <w:rFonts w:ascii="宋体" w:eastAsia="宋体" w:hAnsi="宋体" w:cs="宋体" w:hint="eastAsia"/>
                <w:sz w:val="24"/>
                <w:szCs w:val="24"/>
                <w:lang w:eastAsia="zh-CN"/>
              </w:rPr>
              <w:t>时间</w:t>
            </w:r>
          </w:p>
        </w:tc>
        <w:tc>
          <w:tcPr>
            <w:tcW w:w="4224" w:type="pct"/>
            <w:vAlign w:val="center"/>
          </w:tcPr>
          <w:p w14:paraId="48A02FF2" w14:textId="77777777" w:rsidR="008E565A" w:rsidRDefault="00AA57CC">
            <w:pPr>
              <w:pStyle w:val="TableParagraph"/>
              <w:tabs>
                <w:tab w:val="left" w:pos="2022"/>
                <w:tab w:val="left" w:pos="2502"/>
                <w:tab w:val="left" w:pos="3342"/>
                <w:tab w:val="left" w:pos="490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rPr>
              <w:t>20</w:t>
            </w:r>
            <w:r>
              <w:rPr>
                <w:rFonts w:ascii="宋体" w:eastAsia="宋体" w:hAnsi="宋体" w:cs="宋体"/>
                <w:sz w:val="24"/>
                <w:szCs w:val="24"/>
              </w:rPr>
              <w:t>25</w:t>
            </w:r>
            <w:r>
              <w:rPr>
                <w:rFonts w:ascii="宋体" w:eastAsia="宋体" w:hAnsi="宋体" w:cs="宋体" w:hint="eastAsia"/>
                <w:sz w:val="24"/>
                <w:szCs w:val="24"/>
              </w:rPr>
              <w:t>年</w:t>
            </w:r>
            <w:r>
              <w:rPr>
                <w:rFonts w:ascii="宋体" w:eastAsia="宋体" w:hAnsi="宋体" w:cs="宋体" w:hint="eastAsia"/>
                <w:sz w:val="24"/>
                <w:szCs w:val="24"/>
                <w:lang w:eastAsia="zh-CN"/>
              </w:rPr>
              <w:t>11</w:t>
            </w:r>
            <w:r>
              <w:rPr>
                <w:rFonts w:ascii="宋体" w:eastAsia="宋体" w:hAnsi="宋体" w:cs="宋体" w:hint="eastAsia"/>
                <w:sz w:val="24"/>
                <w:szCs w:val="24"/>
              </w:rPr>
              <w:t>月</w:t>
            </w:r>
            <w:r>
              <w:rPr>
                <w:rFonts w:ascii="宋体" w:eastAsia="宋体" w:hAnsi="宋体" w:cs="宋体" w:hint="eastAsia"/>
                <w:sz w:val="24"/>
                <w:szCs w:val="24"/>
                <w:lang w:eastAsia="zh-CN"/>
              </w:rPr>
              <w:t>1</w:t>
            </w:r>
            <w:r>
              <w:rPr>
                <w:rFonts w:ascii="宋体" w:eastAsia="宋体" w:hAnsi="宋体" w:cs="宋体"/>
                <w:sz w:val="24"/>
                <w:szCs w:val="24"/>
                <w:lang w:eastAsia="zh-CN"/>
              </w:rPr>
              <w:t>3</w:t>
            </w:r>
            <w:r>
              <w:rPr>
                <w:rFonts w:ascii="宋体" w:eastAsia="宋体" w:hAnsi="宋体" w:cs="宋体" w:hint="eastAsia"/>
                <w:sz w:val="24"/>
                <w:szCs w:val="24"/>
              </w:rPr>
              <w:t>日</w:t>
            </w:r>
            <w:r>
              <w:rPr>
                <w:rFonts w:ascii="宋体" w:eastAsia="宋体" w:hAnsi="宋体" w:cs="宋体"/>
                <w:sz w:val="24"/>
                <w:szCs w:val="24"/>
                <w:lang w:eastAsia="zh-CN"/>
              </w:rPr>
              <w:t xml:space="preserve"> </w:t>
            </w:r>
          </w:p>
        </w:tc>
      </w:tr>
      <w:tr w:rsidR="008E565A" w14:paraId="2F19DEB8" w14:textId="77777777">
        <w:trPr>
          <w:trHeight w:val="416"/>
          <w:jc w:val="center"/>
        </w:trPr>
        <w:tc>
          <w:tcPr>
            <w:tcW w:w="775" w:type="pct"/>
            <w:vAlign w:val="center"/>
          </w:tcPr>
          <w:p w14:paraId="779F5611" w14:textId="77777777" w:rsidR="008E565A" w:rsidRDefault="00AA57CC">
            <w:pPr>
              <w:pStyle w:val="TableParagraph"/>
              <w:spacing w:line="360" w:lineRule="auto"/>
              <w:jc w:val="center"/>
              <w:rPr>
                <w:rFonts w:ascii="宋体" w:eastAsia="宋体" w:hAnsi="宋体" w:cs="宋体"/>
                <w:spacing w:val="2"/>
                <w:sz w:val="24"/>
                <w:szCs w:val="24"/>
              </w:rPr>
            </w:pPr>
            <w:r>
              <w:rPr>
                <w:rFonts w:ascii="宋体" w:eastAsia="宋体" w:hAnsi="宋体" w:cs="宋体" w:hint="eastAsia"/>
                <w:spacing w:val="2"/>
                <w:sz w:val="24"/>
                <w:szCs w:val="24"/>
                <w:lang w:eastAsia="zh-CN"/>
              </w:rPr>
              <w:t>地点</w:t>
            </w:r>
          </w:p>
        </w:tc>
        <w:tc>
          <w:tcPr>
            <w:tcW w:w="4224" w:type="pct"/>
            <w:vAlign w:val="center"/>
          </w:tcPr>
          <w:p w14:paraId="08138457" w14:textId="77777777" w:rsidR="008E565A" w:rsidRDefault="00AA57CC">
            <w:pPr>
              <w:pStyle w:val="TableParagraph"/>
              <w:tabs>
                <w:tab w:val="left" w:pos="2022"/>
                <w:tab w:val="left" w:pos="2502"/>
                <w:tab w:val="left" w:pos="3342"/>
                <w:tab w:val="left" w:pos="490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深圳，现场交流</w:t>
            </w:r>
            <w:r>
              <w:rPr>
                <w:rFonts w:ascii="宋体" w:eastAsia="宋体" w:hAnsi="宋体" w:cs="宋体"/>
                <w:sz w:val="24"/>
                <w:szCs w:val="24"/>
                <w:lang w:eastAsia="zh-CN"/>
              </w:rPr>
              <w:t xml:space="preserve"> </w:t>
            </w:r>
          </w:p>
        </w:tc>
      </w:tr>
      <w:tr w:rsidR="008E565A" w14:paraId="450F53A3" w14:textId="77777777">
        <w:trPr>
          <w:trHeight w:val="483"/>
          <w:jc w:val="center"/>
        </w:trPr>
        <w:tc>
          <w:tcPr>
            <w:tcW w:w="775" w:type="pct"/>
            <w:vAlign w:val="center"/>
          </w:tcPr>
          <w:p w14:paraId="4EC2101E" w14:textId="77777777" w:rsidR="008E565A" w:rsidRDefault="00AA57CC">
            <w:pPr>
              <w:pStyle w:val="TableParagraph"/>
              <w:spacing w:before="75" w:line="360" w:lineRule="auto"/>
              <w:ind w:right="140"/>
              <w:jc w:val="center"/>
              <w:rPr>
                <w:rFonts w:ascii="宋体" w:eastAsia="宋体" w:hAnsi="宋体" w:cs="宋体"/>
                <w:sz w:val="24"/>
                <w:szCs w:val="24"/>
                <w:lang w:eastAsia="zh-CN"/>
              </w:rPr>
            </w:pPr>
            <w:r>
              <w:rPr>
                <w:rFonts w:ascii="宋体" w:eastAsia="宋体" w:hAnsi="宋体" w:cs="宋体" w:hint="eastAsia"/>
                <w:spacing w:val="2"/>
                <w:sz w:val="24"/>
                <w:szCs w:val="24"/>
                <w:lang w:eastAsia="zh-CN"/>
              </w:rPr>
              <w:t>参</w:t>
            </w:r>
            <w:r>
              <w:rPr>
                <w:rFonts w:ascii="宋体" w:eastAsia="宋体" w:hAnsi="宋体" w:cs="宋体" w:hint="eastAsia"/>
                <w:sz w:val="24"/>
                <w:szCs w:val="24"/>
                <w:lang w:eastAsia="zh-CN"/>
              </w:rPr>
              <w:t>与</w:t>
            </w:r>
            <w:r>
              <w:rPr>
                <w:rFonts w:ascii="宋体" w:eastAsia="宋体" w:hAnsi="宋体" w:cs="宋体" w:hint="eastAsia"/>
                <w:spacing w:val="2"/>
                <w:sz w:val="24"/>
                <w:szCs w:val="24"/>
                <w:lang w:eastAsia="zh-CN"/>
              </w:rPr>
              <w:t>单位名称</w:t>
            </w:r>
          </w:p>
        </w:tc>
        <w:tc>
          <w:tcPr>
            <w:tcW w:w="4224" w:type="pct"/>
            <w:vAlign w:val="center"/>
          </w:tcPr>
          <w:p w14:paraId="2F857352" w14:textId="77777777" w:rsidR="008E565A" w:rsidRDefault="00AA57CC">
            <w:pPr>
              <w:pStyle w:val="TableParagraph"/>
              <w:tabs>
                <w:tab w:val="left" w:pos="2022"/>
                <w:tab w:val="left" w:pos="2502"/>
                <w:tab w:val="left" w:pos="3342"/>
                <w:tab w:val="left" w:pos="4782"/>
              </w:tabs>
              <w:spacing w:line="360" w:lineRule="auto"/>
              <w:jc w:val="both"/>
              <w:rPr>
                <w:rFonts w:ascii="宋体" w:eastAsia="宋体" w:hAnsi="宋体" w:cs="宋体"/>
                <w:sz w:val="24"/>
                <w:szCs w:val="24"/>
                <w:lang w:eastAsia="zh"/>
              </w:rPr>
            </w:pPr>
            <w:r>
              <w:rPr>
                <w:rFonts w:ascii="宋体" w:eastAsia="宋体" w:hAnsi="宋体" w:cs="宋体" w:hint="eastAsia"/>
                <w:sz w:val="24"/>
                <w:szCs w:val="24"/>
                <w:lang w:eastAsia="zh-CN"/>
              </w:rPr>
              <w:t>中信证券、国寿资产、高腾国际、建信基金、上海国资经营</w:t>
            </w:r>
            <w:r>
              <w:rPr>
                <w:rFonts w:ascii="宋体" w:eastAsia="宋体" w:hAnsi="宋体" w:cs="宋体" w:hint="eastAsia"/>
                <w:sz w:val="24"/>
                <w:szCs w:val="24"/>
                <w:lang w:eastAsia="zh"/>
              </w:rPr>
              <w:t>公司、康曼德资本、</w:t>
            </w:r>
            <w:proofErr w:type="gramStart"/>
            <w:r>
              <w:rPr>
                <w:rFonts w:ascii="宋体" w:eastAsia="宋体" w:hAnsi="宋体" w:cs="宋体" w:hint="eastAsia"/>
                <w:sz w:val="24"/>
                <w:szCs w:val="24"/>
                <w:lang w:eastAsia="zh"/>
              </w:rPr>
              <w:t>煜</w:t>
            </w:r>
            <w:proofErr w:type="gramEnd"/>
            <w:r>
              <w:rPr>
                <w:rFonts w:ascii="宋体" w:eastAsia="宋体" w:hAnsi="宋体" w:cs="宋体" w:hint="eastAsia"/>
                <w:sz w:val="24"/>
                <w:szCs w:val="24"/>
                <w:lang w:eastAsia="zh"/>
              </w:rPr>
              <w:t>德投资</w:t>
            </w:r>
          </w:p>
        </w:tc>
      </w:tr>
      <w:tr w:rsidR="008E565A" w14:paraId="6A3E2C5E" w14:textId="77777777">
        <w:trPr>
          <w:trHeight w:val="823"/>
          <w:jc w:val="center"/>
        </w:trPr>
        <w:tc>
          <w:tcPr>
            <w:tcW w:w="775" w:type="pct"/>
            <w:vAlign w:val="center"/>
          </w:tcPr>
          <w:p w14:paraId="2E5305BB" w14:textId="77777777" w:rsidR="008E565A" w:rsidRDefault="00AA57CC">
            <w:pPr>
              <w:pStyle w:val="TableParagraph"/>
              <w:spacing w:line="360" w:lineRule="auto"/>
              <w:jc w:val="center"/>
              <w:rPr>
                <w:rFonts w:ascii="宋体" w:eastAsia="宋体" w:hAnsi="宋体" w:cs="宋体"/>
                <w:spacing w:val="2"/>
                <w:sz w:val="24"/>
                <w:szCs w:val="24"/>
              </w:rPr>
            </w:pPr>
            <w:proofErr w:type="spellStart"/>
            <w:r>
              <w:rPr>
                <w:rFonts w:ascii="宋体" w:eastAsia="宋体" w:hAnsi="宋体" w:cs="宋体" w:hint="eastAsia"/>
                <w:spacing w:val="2"/>
                <w:sz w:val="24"/>
                <w:szCs w:val="24"/>
              </w:rPr>
              <w:t>上</w:t>
            </w:r>
            <w:r>
              <w:rPr>
                <w:rFonts w:ascii="宋体" w:eastAsia="宋体" w:hAnsi="宋体" w:cs="宋体" w:hint="eastAsia"/>
                <w:sz w:val="24"/>
                <w:szCs w:val="24"/>
              </w:rPr>
              <w:t>市</w:t>
            </w:r>
            <w:r>
              <w:rPr>
                <w:rFonts w:ascii="宋体" w:eastAsia="宋体" w:hAnsi="宋体" w:cs="宋体" w:hint="eastAsia"/>
                <w:spacing w:val="2"/>
                <w:sz w:val="24"/>
                <w:szCs w:val="24"/>
              </w:rPr>
              <w:t>公司</w:t>
            </w:r>
            <w:proofErr w:type="spellEnd"/>
          </w:p>
          <w:p w14:paraId="58A7BF86" w14:textId="77777777" w:rsidR="008E565A" w:rsidRDefault="00AA57CC">
            <w:pPr>
              <w:pStyle w:val="TableParagraph"/>
              <w:spacing w:line="360" w:lineRule="auto"/>
              <w:jc w:val="center"/>
              <w:rPr>
                <w:rFonts w:ascii="宋体" w:eastAsia="宋体" w:hAnsi="宋体" w:cs="宋体"/>
                <w:sz w:val="24"/>
                <w:szCs w:val="24"/>
              </w:rPr>
            </w:pPr>
            <w:proofErr w:type="spellStart"/>
            <w:r>
              <w:rPr>
                <w:rFonts w:ascii="宋体" w:eastAsia="宋体" w:hAnsi="宋体" w:cs="宋体" w:hint="eastAsia"/>
                <w:spacing w:val="2"/>
                <w:sz w:val="24"/>
                <w:szCs w:val="24"/>
              </w:rPr>
              <w:t>出</w:t>
            </w:r>
            <w:r>
              <w:rPr>
                <w:rFonts w:ascii="宋体" w:eastAsia="宋体" w:hAnsi="宋体" w:cs="宋体" w:hint="eastAsia"/>
                <w:sz w:val="24"/>
                <w:szCs w:val="24"/>
              </w:rPr>
              <w:t>席</w:t>
            </w:r>
            <w:r>
              <w:rPr>
                <w:rFonts w:ascii="宋体" w:eastAsia="宋体" w:hAnsi="宋体" w:cs="宋体" w:hint="eastAsia"/>
                <w:spacing w:val="2"/>
                <w:sz w:val="24"/>
                <w:szCs w:val="24"/>
              </w:rPr>
              <w:t>人员</w:t>
            </w:r>
            <w:proofErr w:type="spellEnd"/>
          </w:p>
        </w:tc>
        <w:tc>
          <w:tcPr>
            <w:tcW w:w="4224" w:type="pct"/>
            <w:vAlign w:val="center"/>
          </w:tcPr>
          <w:p w14:paraId="17F211BD" w14:textId="77777777" w:rsidR="008E565A" w:rsidRDefault="00AA57CC">
            <w:pPr>
              <w:pStyle w:val="TableParagraph"/>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证券事务代表 林莉尔、I</w:t>
            </w:r>
            <w:r>
              <w:rPr>
                <w:rFonts w:ascii="宋体" w:eastAsia="宋体" w:hAnsi="宋体" w:cs="宋体"/>
                <w:sz w:val="24"/>
                <w:szCs w:val="24"/>
                <w:lang w:eastAsia="zh-CN"/>
              </w:rPr>
              <w:t xml:space="preserve">R </w:t>
            </w:r>
            <w:r>
              <w:rPr>
                <w:rFonts w:ascii="宋体" w:eastAsia="宋体" w:hAnsi="宋体" w:cs="宋体" w:hint="eastAsia"/>
                <w:sz w:val="24"/>
                <w:szCs w:val="24"/>
                <w:lang w:eastAsia="zh-CN"/>
              </w:rPr>
              <w:t>薛志浩</w:t>
            </w:r>
          </w:p>
        </w:tc>
      </w:tr>
      <w:tr w:rsidR="008E565A" w14:paraId="6345FAB1" w14:textId="77777777">
        <w:trPr>
          <w:trHeight w:val="1360"/>
          <w:jc w:val="center"/>
        </w:trPr>
        <w:tc>
          <w:tcPr>
            <w:tcW w:w="775" w:type="pct"/>
            <w:vAlign w:val="center"/>
          </w:tcPr>
          <w:p w14:paraId="182C25F7" w14:textId="77777777" w:rsidR="008E565A" w:rsidRDefault="00AA57CC">
            <w:pPr>
              <w:pStyle w:val="TableParagraph"/>
              <w:spacing w:line="360" w:lineRule="auto"/>
              <w:jc w:val="center"/>
              <w:rPr>
                <w:rFonts w:ascii="宋体" w:eastAsia="宋体" w:hAnsi="宋体" w:cs="宋体"/>
                <w:sz w:val="24"/>
                <w:szCs w:val="24"/>
                <w:lang w:eastAsia="zh-CN"/>
              </w:rPr>
            </w:pPr>
            <w:r>
              <w:rPr>
                <w:rFonts w:ascii="宋体" w:eastAsia="宋体" w:hAnsi="宋体" w:cs="宋体" w:hint="eastAsia"/>
                <w:spacing w:val="2"/>
                <w:sz w:val="24"/>
                <w:szCs w:val="24"/>
                <w:lang w:eastAsia="zh-CN"/>
              </w:rPr>
              <w:t>投资者关系</w:t>
            </w:r>
            <w:r>
              <w:rPr>
                <w:rFonts w:ascii="宋体" w:eastAsia="宋体" w:hAnsi="宋体" w:cs="宋体" w:hint="eastAsia"/>
                <w:sz w:val="24"/>
                <w:szCs w:val="24"/>
                <w:lang w:eastAsia="zh-CN"/>
              </w:rPr>
              <w:t>活动</w:t>
            </w:r>
            <w:r>
              <w:rPr>
                <w:rFonts w:ascii="宋体" w:eastAsia="宋体" w:hAnsi="宋体" w:cs="宋体" w:hint="eastAsia"/>
                <w:spacing w:val="2"/>
                <w:sz w:val="24"/>
                <w:szCs w:val="24"/>
                <w:lang w:eastAsia="zh-CN"/>
              </w:rPr>
              <w:t>主</w:t>
            </w:r>
            <w:r>
              <w:rPr>
                <w:rFonts w:ascii="宋体" w:eastAsia="宋体" w:hAnsi="宋体" w:cs="宋体" w:hint="eastAsia"/>
                <w:sz w:val="24"/>
                <w:szCs w:val="24"/>
                <w:lang w:eastAsia="zh-CN"/>
              </w:rPr>
              <w:t>要</w:t>
            </w:r>
            <w:r>
              <w:rPr>
                <w:rFonts w:ascii="宋体" w:eastAsia="宋体" w:hAnsi="宋体" w:cs="宋体" w:hint="eastAsia"/>
                <w:spacing w:val="2"/>
                <w:sz w:val="24"/>
                <w:szCs w:val="24"/>
                <w:lang w:eastAsia="zh-CN"/>
              </w:rPr>
              <w:t>内容</w:t>
            </w:r>
          </w:p>
        </w:tc>
        <w:tc>
          <w:tcPr>
            <w:tcW w:w="4224" w:type="pct"/>
          </w:tcPr>
          <w:p w14:paraId="443E1586" w14:textId="3A110EC6" w:rsidR="008E565A" w:rsidRDefault="00AA57CC">
            <w:pPr>
              <w:spacing w:line="360" w:lineRule="auto"/>
              <w:jc w:val="both"/>
              <w:rPr>
                <w:rFonts w:ascii="宋体" w:eastAsia="宋体" w:hAnsi="宋体" w:cs="宋体"/>
                <w:b/>
                <w:sz w:val="24"/>
                <w:szCs w:val="24"/>
                <w:lang w:eastAsia="zh-CN"/>
              </w:rPr>
            </w:pPr>
            <w:r>
              <w:rPr>
                <w:rFonts w:ascii="宋体" w:eastAsia="宋体" w:hAnsi="宋体" w:cs="宋体" w:hint="eastAsia"/>
                <w:b/>
                <w:sz w:val="24"/>
                <w:szCs w:val="24"/>
                <w:lang w:eastAsia="zh"/>
              </w:rPr>
              <w:t>1</w:t>
            </w:r>
            <w:r>
              <w:rPr>
                <w:rFonts w:ascii="宋体" w:eastAsia="宋体" w:hAnsi="宋体" w:cs="宋体" w:hint="eastAsia"/>
                <w:b/>
                <w:sz w:val="24"/>
                <w:szCs w:val="24"/>
                <w:lang w:eastAsia="zh-CN"/>
              </w:rPr>
              <w:t>、公司</w:t>
            </w:r>
            <w:proofErr w:type="gramStart"/>
            <w:r>
              <w:rPr>
                <w:rFonts w:ascii="宋体" w:eastAsia="宋体" w:hAnsi="宋体" w:cs="宋体" w:hint="eastAsia"/>
                <w:b/>
                <w:sz w:val="24"/>
                <w:szCs w:val="24"/>
                <w:lang w:eastAsia="zh-CN"/>
              </w:rPr>
              <w:t>投顾业务</w:t>
            </w:r>
            <w:proofErr w:type="gramEnd"/>
            <w:r>
              <w:rPr>
                <w:rFonts w:ascii="宋体" w:eastAsia="宋体" w:hAnsi="宋体" w:cs="宋体" w:hint="eastAsia"/>
                <w:b/>
                <w:sz w:val="24"/>
                <w:szCs w:val="24"/>
                <w:lang w:eastAsia="zh-CN"/>
              </w:rPr>
              <w:t>上半年发展良好，明显加强了线上运营能力，能否详细介绍在线上运营方面，公司未来几年的计划投入情况？</w:t>
            </w:r>
          </w:p>
          <w:p w14:paraId="6042A007" w14:textId="74E291BA" w:rsidR="008E565A" w:rsidRDefault="00AA57CC">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国投证券智能</w:t>
            </w:r>
            <w:proofErr w:type="gramStart"/>
            <w:r>
              <w:rPr>
                <w:rFonts w:ascii="宋体" w:eastAsia="宋体" w:hAnsi="宋体" w:cs="宋体" w:hint="eastAsia"/>
                <w:sz w:val="24"/>
                <w:szCs w:val="24"/>
                <w:lang w:eastAsia="zh-CN"/>
              </w:rPr>
              <w:t>投顾线</w:t>
            </w:r>
            <w:proofErr w:type="gramEnd"/>
            <w:r>
              <w:rPr>
                <w:rFonts w:ascii="宋体" w:eastAsia="宋体" w:hAnsi="宋体" w:cs="宋体" w:hint="eastAsia"/>
                <w:sz w:val="24"/>
                <w:szCs w:val="24"/>
                <w:lang w:eastAsia="zh-CN"/>
              </w:rPr>
              <w:t>上运营以“产品矩阵+内容服务+陪伴活动”为核心打法，成效显著。产品端构建广谱进阶体系，覆盖</w:t>
            </w:r>
            <w:proofErr w:type="gramStart"/>
            <w:r>
              <w:rPr>
                <w:rFonts w:ascii="宋体" w:eastAsia="宋体" w:hAnsi="宋体" w:cs="宋体" w:hint="eastAsia"/>
                <w:sz w:val="24"/>
                <w:szCs w:val="24"/>
                <w:lang w:eastAsia="zh-CN"/>
              </w:rPr>
              <w:t>低资产至</w:t>
            </w:r>
            <w:proofErr w:type="gramEnd"/>
            <w:r>
              <w:rPr>
                <w:rFonts w:ascii="宋体" w:eastAsia="宋体" w:hAnsi="宋体" w:cs="宋体" w:hint="eastAsia"/>
                <w:sz w:val="24"/>
                <w:szCs w:val="24"/>
                <w:lang w:eastAsia="zh-CN"/>
              </w:rPr>
              <w:t>高净值客户，提供从单产品到服务包、初阶到高阶的工具矩阵。在服务端打造“科技与温度服务融合”生态，将新媒体内容整合</w:t>
            </w:r>
            <w:proofErr w:type="gramStart"/>
            <w:r>
              <w:rPr>
                <w:rFonts w:ascii="宋体" w:eastAsia="宋体" w:hAnsi="宋体" w:cs="宋体" w:hint="eastAsia"/>
                <w:sz w:val="24"/>
                <w:szCs w:val="24"/>
                <w:lang w:eastAsia="zh-CN"/>
              </w:rPr>
              <w:t>进产品</w:t>
            </w:r>
            <w:proofErr w:type="gramEnd"/>
            <w:r>
              <w:rPr>
                <w:rFonts w:ascii="宋体" w:eastAsia="宋体" w:hAnsi="宋体" w:cs="宋体" w:hint="eastAsia"/>
                <w:sz w:val="24"/>
                <w:szCs w:val="24"/>
                <w:lang w:eastAsia="zh-CN"/>
              </w:rPr>
              <w:t>服务，针对“智能交易”“ETF配置”等场景</w:t>
            </w:r>
            <w:proofErr w:type="gramStart"/>
            <w:r>
              <w:rPr>
                <w:rFonts w:ascii="宋体" w:eastAsia="宋体" w:hAnsi="宋体" w:cs="宋体" w:hint="eastAsia"/>
                <w:sz w:val="24"/>
                <w:szCs w:val="24"/>
                <w:lang w:eastAsia="zh-CN"/>
              </w:rPr>
              <w:t>定制含短视频</w:t>
            </w:r>
            <w:proofErr w:type="gramEnd"/>
            <w:r>
              <w:rPr>
                <w:rFonts w:ascii="宋体" w:eastAsia="宋体" w:hAnsi="宋体" w:cs="宋体" w:hint="eastAsia"/>
                <w:sz w:val="24"/>
                <w:szCs w:val="24"/>
                <w:lang w:eastAsia="zh-CN"/>
              </w:rPr>
              <w:t>、直播、案例的“内容工具包”，通过APP推送、</w:t>
            </w:r>
            <w:proofErr w:type="gramStart"/>
            <w:r>
              <w:rPr>
                <w:rFonts w:ascii="宋体" w:eastAsia="宋体" w:hAnsi="宋体" w:cs="宋体" w:hint="eastAsia"/>
                <w:sz w:val="24"/>
                <w:szCs w:val="24"/>
                <w:lang w:eastAsia="zh-CN"/>
              </w:rPr>
              <w:t>企微分享触达</w:t>
            </w:r>
            <w:proofErr w:type="gramEnd"/>
            <w:r>
              <w:rPr>
                <w:rFonts w:ascii="宋体" w:eastAsia="宋体" w:hAnsi="宋体" w:cs="宋体" w:hint="eastAsia"/>
                <w:sz w:val="24"/>
                <w:szCs w:val="24"/>
                <w:lang w:eastAsia="zh-CN"/>
              </w:rPr>
              <w:t>客户。陪伴端动态响应需求，极致行情时</w:t>
            </w:r>
            <w:proofErr w:type="gramStart"/>
            <w:r>
              <w:rPr>
                <w:rFonts w:ascii="宋体" w:eastAsia="宋体" w:hAnsi="宋体" w:cs="宋体" w:hint="eastAsia"/>
                <w:sz w:val="24"/>
                <w:szCs w:val="24"/>
                <w:lang w:eastAsia="zh-CN"/>
              </w:rPr>
              <w:t>以投顾直播</w:t>
            </w:r>
            <w:proofErr w:type="gramEnd"/>
            <w:r>
              <w:rPr>
                <w:rFonts w:ascii="宋体" w:eastAsia="宋体" w:hAnsi="宋体" w:cs="宋体" w:hint="eastAsia"/>
                <w:sz w:val="24"/>
                <w:szCs w:val="24"/>
                <w:lang w:eastAsia="zh-CN"/>
              </w:rPr>
              <w:t>、快评提供“情绪调节+策略建议”，还打造“财富A计划”“智能交易日”“ETF实盘赛”等品牌活动，</w:t>
            </w:r>
            <w:proofErr w:type="gramStart"/>
            <w:r>
              <w:rPr>
                <w:rFonts w:ascii="宋体" w:eastAsia="宋体" w:hAnsi="宋体" w:cs="宋体" w:hint="eastAsia"/>
                <w:sz w:val="24"/>
                <w:szCs w:val="24"/>
                <w:lang w:eastAsia="zh-CN"/>
              </w:rPr>
              <w:t>实现投顾数字化</w:t>
            </w:r>
            <w:proofErr w:type="gramEnd"/>
            <w:r>
              <w:rPr>
                <w:rFonts w:ascii="宋体" w:eastAsia="宋体" w:hAnsi="宋体" w:cs="宋体" w:hint="eastAsia"/>
                <w:sz w:val="24"/>
                <w:szCs w:val="24"/>
                <w:lang w:eastAsia="zh-CN"/>
              </w:rPr>
              <w:t>与投资场景化的嵌套。</w:t>
            </w:r>
          </w:p>
          <w:p w14:paraId="5E9960DB" w14:textId="54F5A5F6" w:rsidR="008E565A" w:rsidRDefault="00AA57CC">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未来几年</w:t>
            </w:r>
            <w:r>
              <w:rPr>
                <w:rFonts w:ascii="宋体" w:eastAsia="宋体" w:hAnsi="宋体" w:cs="宋体" w:hint="eastAsia"/>
                <w:sz w:val="24"/>
                <w:szCs w:val="24"/>
                <w:lang w:eastAsia="zh"/>
              </w:rPr>
              <w:t>国投证券</w:t>
            </w:r>
            <w:r>
              <w:rPr>
                <w:rFonts w:ascii="宋体" w:eastAsia="宋体" w:hAnsi="宋体" w:cs="宋体" w:hint="eastAsia"/>
                <w:sz w:val="24"/>
                <w:szCs w:val="24"/>
                <w:lang w:eastAsia="zh-CN"/>
              </w:rPr>
              <w:t>的线上运营核心目标是：构建以“内容与IP”为前台触点、以“数据中台”为神经中枢、以“运营平台”为</w:t>
            </w:r>
            <w:r>
              <w:rPr>
                <w:rFonts w:ascii="宋体" w:eastAsia="宋体" w:hAnsi="宋体" w:cs="宋体" w:hint="eastAsia"/>
                <w:sz w:val="24"/>
                <w:szCs w:val="24"/>
                <w:lang w:eastAsia="zh-CN"/>
              </w:rPr>
              <w:lastRenderedPageBreak/>
              <w:t>支撑骨架的线上</w:t>
            </w:r>
            <w:proofErr w:type="gramStart"/>
            <w:r>
              <w:rPr>
                <w:rFonts w:ascii="宋体" w:eastAsia="宋体" w:hAnsi="宋体" w:cs="宋体" w:hint="eastAsia"/>
                <w:sz w:val="24"/>
                <w:szCs w:val="24"/>
                <w:lang w:eastAsia="zh-CN"/>
              </w:rPr>
              <w:t>投顾服务</w:t>
            </w:r>
            <w:proofErr w:type="gramEnd"/>
            <w:r>
              <w:rPr>
                <w:rFonts w:ascii="宋体" w:eastAsia="宋体" w:hAnsi="宋体" w:cs="宋体" w:hint="eastAsia"/>
                <w:sz w:val="24"/>
                <w:szCs w:val="24"/>
                <w:lang w:eastAsia="zh-CN"/>
              </w:rPr>
              <w:t>生态。总投入将呈现出技术基建重资产化、内容生产体系化、客户运营精细化三大特点，同时打造一支专业化的“总分联动”投资顾问队伍。重点投入</w:t>
            </w:r>
            <w:proofErr w:type="gramStart"/>
            <w:r>
              <w:rPr>
                <w:rFonts w:ascii="宋体" w:eastAsia="宋体" w:hAnsi="宋体" w:cs="宋体" w:hint="eastAsia"/>
                <w:sz w:val="24"/>
                <w:szCs w:val="24"/>
                <w:lang w:eastAsia="zh-CN"/>
              </w:rPr>
              <w:t>专业投顾</w:t>
            </w:r>
            <w:proofErr w:type="gramEnd"/>
            <w:r>
              <w:rPr>
                <w:rFonts w:ascii="宋体" w:eastAsia="宋体" w:hAnsi="宋体" w:cs="宋体" w:hint="eastAsia"/>
                <w:sz w:val="24"/>
                <w:szCs w:val="24"/>
                <w:lang w:eastAsia="zh-CN"/>
              </w:rPr>
              <w:t>IP打造，建立“总部赋能+团队作战”的IP孵化模式，打造金字塔式IP矩阵。总部组织赋能与人才队伍发展，组建一支涵盖内容策划、视频制作、数据运营、社群管理的专业团队，为投资顾问提供强力的支持。同时定期开展针对</w:t>
            </w:r>
            <w:proofErr w:type="gramStart"/>
            <w:r>
              <w:rPr>
                <w:rFonts w:ascii="宋体" w:eastAsia="宋体" w:hAnsi="宋体" w:cs="宋体" w:hint="eastAsia"/>
                <w:sz w:val="24"/>
                <w:szCs w:val="24"/>
                <w:lang w:eastAsia="zh-CN"/>
              </w:rPr>
              <w:t>全体投顾的</w:t>
            </w:r>
            <w:proofErr w:type="gramEnd"/>
            <w:r>
              <w:rPr>
                <w:rFonts w:ascii="宋体" w:eastAsia="宋体" w:hAnsi="宋体" w:cs="宋体" w:hint="eastAsia"/>
                <w:sz w:val="24"/>
                <w:szCs w:val="24"/>
                <w:lang w:eastAsia="zh-CN"/>
              </w:rPr>
              <w:t>线上运营技能培训，提升</w:t>
            </w:r>
            <w:proofErr w:type="gramStart"/>
            <w:r>
              <w:rPr>
                <w:rFonts w:ascii="宋体" w:eastAsia="宋体" w:hAnsi="宋体" w:cs="宋体" w:hint="eastAsia"/>
                <w:sz w:val="24"/>
                <w:szCs w:val="24"/>
                <w:lang w:eastAsia="zh-CN"/>
              </w:rPr>
              <w:t>投顾队伍</w:t>
            </w:r>
            <w:proofErr w:type="gramEnd"/>
            <w:r>
              <w:rPr>
                <w:rFonts w:ascii="宋体" w:eastAsia="宋体" w:hAnsi="宋体" w:cs="宋体" w:hint="eastAsia"/>
                <w:sz w:val="24"/>
                <w:szCs w:val="24"/>
                <w:lang w:eastAsia="zh-CN"/>
              </w:rPr>
              <w:t>的专业化水平，扩大</w:t>
            </w:r>
            <w:proofErr w:type="gramStart"/>
            <w:r>
              <w:rPr>
                <w:rFonts w:ascii="宋体" w:eastAsia="宋体" w:hAnsi="宋体" w:cs="宋体" w:hint="eastAsia"/>
                <w:sz w:val="24"/>
                <w:szCs w:val="24"/>
                <w:lang w:eastAsia="zh-CN"/>
              </w:rPr>
              <w:t>投顾队伍</w:t>
            </w:r>
            <w:proofErr w:type="gramEnd"/>
            <w:r>
              <w:rPr>
                <w:rFonts w:ascii="宋体" w:eastAsia="宋体" w:hAnsi="宋体" w:cs="宋体" w:hint="eastAsia"/>
                <w:sz w:val="24"/>
                <w:szCs w:val="24"/>
                <w:lang w:eastAsia="zh-CN"/>
              </w:rPr>
              <w:t>的规模，实现业务的快速增长。</w:t>
            </w:r>
          </w:p>
          <w:p w14:paraId="496424F5" w14:textId="77777777" w:rsidR="008E565A" w:rsidRDefault="008E565A" w:rsidP="003F1757">
            <w:pPr>
              <w:spacing w:line="360" w:lineRule="auto"/>
              <w:jc w:val="both"/>
              <w:rPr>
                <w:rFonts w:ascii="宋体" w:eastAsia="宋体" w:hAnsi="宋体" w:cs="宋体"/>
                <w:sz w:val="24"/>
                <w:szCs w:val="24"/>
                <w:lang w:eastAsia="zh-CN"/>
              </w:rPr>
            </w:pPr>
          </w:p>
          <w:p w14:paraId="2EA0F9A5" w14:textId="4C51F0C7" w:rsidR="008E565A" w:rsidRPr="003F1757" w:rsidRDefault="00AA57CC">
            <w:pPr>
              <w:spacing w:line="360" w:lineRule="auto"/>
              <w:jc w:val="both"/>
              <w:rPr>
                <w:rFonts w:ascii="宋体" w:eastAsia="宋体" w:hAnsi="宋体" w:cs="宋体"/>
                <w:b/>
                <w:bCs/>
                <w:sz w:val="24"/>
                <w:szCs w:val="24"/>
                <w:lang w:eastAsia="zh-CN"/>
              </w:rPr>
            </w:pPr>
            <w:r w:rsidRPr="003F1757">
              <w:rPr>
                <w:rFonts w:ascii="宋体" w:eastAsia="宋体" w:hAnsi="宋体" w:cs="宋体"/>
                <w:b/>
                <w:bCs/>
                <w:sz w:val="24"/>
                <w:szCs w:val="24"/>
                <w:lang w:eastAsia="zh"/>
              </w:rPr>
              <w:t>2</w:t>
            </w:r>
            <w:r w:rsidRPr="003F1757">
              <w:rPr>
                <w:rFonts w:ascii="宋体" w:eastAsia="宋体" w:hAnsi="宋体" w:cs="宋体"/>
                <w:b/>
                <w:bCs/>
                <w:sz w:val="24"/>
                <w:szCs w:val="24"/>
                <w:lang w:eastAsia="zh-CN"/>
              </w:rPr>
              <w:t>、在当前公</w:t>
            </w:r>
            <w:proofErr w:type="gramStart"/>
            <w:r w:rsidRPr="003F1757">
              <w:rPr>
                <w:rFonts w:ascii="宋体" w:eastAsia="宋体" w:hAnsi="宋体" w:cs="宋体"/>
                <w:b/>
                <w:bCs/>
                <w:sz w:val="24"/>
                <w:szCs w:val="24"/>
                <w:lang w:eastAsia="zh-CN"/>
              </w:rPr>
              <w:t>募行业</w:t>
            </w:r>
            <w:proofErr w:type="gramEnd"/>
            <w:r w:rsidRPr="003F1757">
              <w:rPr>
                <w:rFonts w:ascii="宋体" w:eastAsia="宋体" w:hAnsi="宋体" w:cs="宋体"/>
                <w:b/>
                <w:bCs/>
                <w:sz w:val="24"/>
                <w:szCs w:val="24"/>
                <w:lang w:eastAsia="zh-CN"/>
              </w:rPr>
              <w:t>竞争激烈、费率持续下行的背景下，</w:t>
            </w:r>
            <w:r>
              <w:rPr>
                <w:rFonts w:ascii="宋体" w:eastAsia="宋体" w:hAnsi="宋体" w:cs="宋体" w:hint="eastAsia"/>
                <w:b/>
                <w:bCs/>
                <w:sz w:val="24"/>
                <w:szCs w:val="24"/>
                <w:lang w:eastAsia="zh"/>
              </w:rPr>
              <w:t>国投</w:t>
            </w:r>
            <w:proofErr w:type="gramStart"/>
            <w:r>
              <w:rPr>
                <w:rFonts w:ascii="宋体" w:eastAsia="宋体" w:hAnsi="宋体" w:cs="宋体" w:hint="eastAsia"/>
                <w:b/>
                <w:bCs/>
                <w:sz w:val="24"/>
                <w:szCs w:val="24"/>
                <w:lang w:eastAsia="zh"/>
              </w:rPr>
              <w:t>证券资管业务</w:t>
            </w:r>
            <w:proofErr w:type="gramEnd"/>
            <w:r w:rsidRPr="003F1757">
              <w:rPr>
                <w:rFonts w:ascii="宋体" w:eastAsia="宋体" w:hAnsi="宋体" w:cs="宋体"/>
                <w:b/>
                <w:bCs/>
                <w:sz w:val="24"/>
                <w:szCs w:val="24"/>
                <w:lang w:eastAsia="zh-CN"/>
              </w:rPr>
              <w:t>将如何打造差异化竞争优势？</w:t>
            </w:r>
          </w:p>
          <w:p w14:paraId="79D2D903" w14:textId="77777777" w:rsidR="008E565A" w:rsidRDefault="00AA57CC" w:rsidP="003F1757">
            <w:pPr>
              <w:spacing w:line="360" w:lineRule="auto"/>
              <w:ind w:firstLineChars="200" w:firstLine="480"/>
              <w:jc w:val="both"/>
              <w:rPr>
                <w:rFonts w:ascii="宋体" w:eastAsia="宋体" w:hAnsi="宋体" w:cs="宋体"/>
                <w:sz w:val="24"/>
                <w:szCs w:val="24"/>
                <w:lang w:eastAsia="zh-CN"/>
              </w:rPr>
            </w:pPr>
            <w:proofErr w:type="gramStart"/>
            <w:r>
              <w:rPr>
                <w:rFonts w:ascii="宋体" w:eastAsia="宋体" w:hAnsi="宋体" w:cs="宋体" w:hint="eastAsia"/>
                <w:sz w:val="24"/>
                <w:szCs w:val="24"/>
                <w:lang w:eastAsia="zh-CN"/>
              </w:rPr>
              <w:t>国证资管</w:t>
            </w:r>
            <w:proofErr w:type="gramEnd"/>
            <w:r>
              <w:rPr>
                <w:rFonts w:ascii="宋体" w:eastAsia="宋体" w:hAnsi="宋体" w:cs="宋体" w:hint="eastAsia"/>
                <w:sz w:val="24"/>
                <w:szCs w:val="24"/>
                <w:lang w:eastAsia="zh-CN"/>
              </w:rPr>
              <w:t>差异化竞争优势主要发力点，一方面是深耕投</w:t>
            </w:r>
            <w:proofErr w:type="gramStart"/>
            <w:r>
              <w:rPr>
                <w:rFonts w:ascii="宋体" w:eastAsia="宋体" w:hAnsi="宋体" w:cs="宋体" w:hint="eastAsia"/>
                <w:sz w:val="24"/>
                <w:szCs w:val="24"/>
                <w:lang w:eastAsia="zh-CN"/>
              </w:rPr>
              <w:t>研</w:t>
            </w:r>
            <w:proofErr w:type="gramEnd"/>
            <w:r>
              <w:rPr>
                <w:rFonts w:ascii="宋体" w:eastAsia="宋体" w:hAnsi="宋体" w:cs="宋体" w:hint="eastAsia"/>
                <w:sz w:val="24"/>
                <w:szCs w:val="24"/>
                <w:lang w:eastAsia="zh-CN"/>
              </w:rPr>
              <w:t>能力，持续加强投</w:t>
            </w:r>
            <w:proofErr w:type="gramStart"/>
            <w:r>
              <w:rPr>
                <w:rFonts w:ascii="宋体" w:eastAsia="宋体" w:hAnsi="宋体" w:cs="宋体" w:hint="eastAsia"/>
                <w:sz w:val="24"/>
                <w:szCs w:val="24"/>
                <w:lang w:eastAsia="zh-CN"/>
              </w:rPr>
              <w:t>研</w:t>
            </w:r>
            <w:proofErr w:type="gramEnd"/>
            <w:r>
              <w:rPr>
                <w:rFonts w:ascii="宋体" w:eastAsia="宋体" w:hAnsi="宋体" w:cs="宋体" w:hint="eastAsia"/>
                <w:sz w:val="24"/>
                <w:szCs w:val="24"/>
                <w:lang w:eastAsia="zh-CN"/>
              </w:rPr>
              <w:t>策略与产品矩阵的联动转化，聚焦于自身有积累、市场有需求的特定策略和特色资产。另一方面，加强渠道策略，重点深耕“粮仓基地”、“战略高地”、“试验田地”、“必争之地”四块地：一是深挖母公司国投证券的内部粮仓基地，以稳健投资体验为切入点，满足客户对超额收益产品的需求；二是把握与头部商业银行的战略合作高地，通过创新的策略与产品组合，建立售前、售中、售后的全流程服务体系；三是试验与三</w:t>
            </w:r>
            <w:proofErr w:type="gramStart"/>
            <w:r>
              <w:rPr>
                <w:rFonts w:ascii="宋体" w:eastAsia="宋体" w:hAnsi="宋体" w:cs="宋体" w:hint="eastAsia"/>
                <w:sz w:val="24"/>
                <w:szCs w:val="24"/>
                <w:lang w:eastAsia="zh-CN"/>
              </w:rPr>
              <w:t>方渠道</w:t>
            </w:r>
            <w:proofErr w:type="gramEnd"/>
            <w:r>
              <w:rPr>
                <w:rFonts w:ascii="宋体" w:eastAsia="宋体" w:hAnsi="宋体" w:cs="宋体" w:hint="eastAsia"/>
                <w:sz w:val="24"/>
                <w:szCs w:val="24"/>
                <w:lang w:eastAsia="zh-CN"/>
              </w:rPr>
              <w:t>合作的试验田地，利用差异化服务策略对高敏感度的客</w:t>
            </w:r>
            <w:proofErr w:type="gramStart"/>
            <w:r>
              <w:rPr>
                <w:rFonts w:ascii="宋体" w:eastAsia="宋体" w:hAnsi="宋体" w:cs="宋体" w:hint="eastAsia"/>
                <w:sz w:val="24"/>
                <w:szCs w:val="24"/>
                <w:lang w:eastAsia="zh-CN"/>
              </w:rPr>
              <w:t>群实现</w:t>
            </w:r>
            <w:proofErr w:type="gramEnd"/>
            <w:r>
              <w:rPr>
                <w:rFonts w:ascii="宋体" w:eastAsia="宋体" w:hAnsi="宋体" w:cs="宋体" w:hint="eastAsia"/>
                <w:sz w:val="24"/>
                <w:szCs w:val="24"/>
                <w:lang w:eastAsia="zh-CN"/>
              </w:rPr>
              <w:t>快速响应，并将试验效果反哺内部渠道，推动高费率产品与服务升级；四是抓好核心的机构客群必争之地，通过定制化陪伴式服务，以定制的策略、灵活的运作以及稳健的收益，加强与机构客户的合作粘性。</w:t>
            </w:r>
          </w:p>
          <w:p w14:paraId="2DFB1ACF" w14:textId="77777777" w:rsidR="008E565A" w:rsidRDefault="008E565A" w:rsidP="003F1757">
            <w:pPr>
              <w:spacing w:line="360" w:lineRule="auto"/>
              <w:jc w:val="both"/>
              <w:rPr>
                <w:rFonts w:ascii="宋体" w:eastAsia="宋体" w:hAnsi="宋体" w:cs="宋体"/>
                <w:sz w:val="24"/>
                <w:szCs w:val="24"/>
                <w:lang w:eastAsia="zh-CN"/>
              </w:rPr>
            </w:pPr>
          </w:p>
          <w:p w14:paraId="0FDAAEF5" w14:textId="4B186515" w:rsidR="008E565A" w:rsidRDefault="00AA57CC">
            <w:pPr>
              <w:spacing w:line="360" w:lineRule="auto"/>
              <w:jc w:val="both"/>
              <w:rPr>
                <w:rFonts w:ascii="宋体" w:eastAsia="宋体" w:hAnsi="宋体" w:cs="宋体"/>
                <w:bCs/>
                <w:sz w:val="24"/>
                <w:szCs w:val="24"/>
                <w:lang w:eastAsia="zh-CN"/>
              </w:rPr>
            </w:pPr>
            <w:r>
              <w:rPr>
                <w:rFonts w:ascii="宋体" w:eastAsia="宋体" w:hAnsi="宋体" w:cs="宋体" w:hint="eastAsia"/>
                <w:b/>
                <w:sz w:val="24"/>
                <w:szCs w:val="24"/>
                <w:lang w:eastAsia="zh"/>
              </w:rPr>
              <w:t>3</w:t>
            </w:r>
            <w:r>
              <w:rPr>
                <w:rFonts w:ascii="宋体" w:eastAsia="宋体" w:hAnsi="宋体" w:cs="宋体" w:hint="eastAsia"/>
                <w:b/>
                <w:sz w:val="24"/>
                <w:szCs w:val="24"/>
                <w:lang w:eastAsia="zh-CN"/>
              </w:rPr>
              <w:t>、</w:t>
            </w:r>
            <w:bookmarkStart w:id="0" w:name="_Toc2047"/>
            <w:r>
              <w:rPr>
                <w:rFonts w:ascii="宋体" w:eastAsia="宋体" w:hAnsi="宋体" w:cs="宋体" w:hint="eastAsia"/>
                <w:b/>
                <w:sz w:val="24"/>
                <w:szCs w:val="24"/>
                <w:lang w:eastAsia="zh-CN"/>
              </w:rPr>
              <w:t>请问公司对2025年第四季度及2026年的股市和债市持何种看法？</w:t>
            </w:r>
            <w:bookmarkEnd w:id="0"/>
            <w:r>
              <w:rPr>
                <w:rFonts w:ascii="宋体" w:eastAsia="宋体" w:hAnsi="宋体" w:cs="宋体" w:hint="eastAsia"/>
                <w:b/>
                <w:sz w:val="24"/>
                <w:szCs w:val="24"/>
                <w:lang w:eastAsia="zh-CN"/>
              </w:rPr>
              <w:t>以及将如何根据市场展望调整权益和</w:t>
            </w:r>
            <w:proofErr w:type="gramStart"/>
            <w:r>
              <w:rPr>
                <w:rFonts w:ascii="宋体" w:eastAsia="宋体" w:hAnsi="宋体" w:cs="宋体" w:hint="eastAsia"/>
                <w:b/>
                <w:sz w:val="24"/>
                <w:szCs w:val="24"/>
                <w:lang w:eastAsia="zh-CN"/>
              </w:rPr>
              <w:t>固收</w:t>
            </w:r>
            <w:proofErr w:type="gramEnd"/>
            <w:r>
              <w:rPr>
                <w:rFonts w:ascii="宋体" w:eastAsia="宋体" w:hAnsi="宋体" w:cs="宋体" w:hint="eastAsia"/>
                <w:b/>
                <w:sz w:val="24"/>
                <w:szCs w:val="24"/>
                <w:lang w:eastAsia="zh-CN"/>
              </w:rPr>
              <w:t>两大类资产的配置比例和投资策略？</w:t>
            </w:r>
          </w:p>
          <w:p w14:paraId="7A320049" w14:textId="39C16D8D" w:rsidR="008E565A" w:rsidRDefault="00AA57CC">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权益投资方面，随着上证指数突破4,000点，权益市场整体</w:t>
            </w:r>
            <w:r w:rsidR="00775C0C">
              <w:rPr>
                <w:rFonts w:ascii="宋体" w:eastAsia="宋体" w:hAnsi="宋体" w:cs="宋体" w:hint="eastAsia"/>
                <w:bCs/>
                <w:sz w:val="24"/>
                <w:szCs w:val="24"/>
                <w:lang w:eastAsia="zh-CN"/>
              </w:rPr>
              <w:lastRenderedPageBreak/>
              <w:t>波动预期抬升，当前权益市场进入到一段时间的业绩发布</w:t>
            </w:r>
            <w:r>
              <w:rPr>
                <w:rFonts w:ascii="宋体" w:eastAsia="宋体" w:hAnsi="宋体" w:cs="宋体" w:hint="eastAsia"/>
                <w:bCs/>
                <w:sz w:val="24"/>
                <w:szCs w:val="24"/>
                <w:lang w:eastAsia="zh-CN"/>
              </w:rPr>
              <w:t>真空期，预计年底前以震荡为主。三季报数据显示，以银行、运营商、公用等为代表的红利板块，其经营稳健性与盈利确定性继续得到兑现。权益投资策略方面，国投证券一方面将积极把握红利板块在市场震荡中的新一轮配置机会，另一方面将继续夯实权益类交易性板块的研究交易能力，并适度提升权益</w:t>
            </w:r>
            <w:proofErr w:type="gramStart"/>
            <w:r>
              <w:rPr>
                <w:rFonts w:ascii="宋体" w:eastAsia="宋体" w:hAnsi="宋体" w:cs="宋体" w:hint="eastAsia"/>
                <w:bCs/>
                <w:sz w:val="24"/>
                <w:szCs w:val="24"/>
                <w:lang w:eastAsia="zh-CN"/>
              </w:rPr>
              <w:t>类做市业务</w:t>
            </w:r>
            <w:proofErr w:type="gramEnd"/>
            <w:r>
              <w:rPr>
                <w:rFonts w:ascii="宋体" w:eastAsia="宋体" w:hAnsi="宋体" w:cs="宋体" w:hint="eastAsia"/>
                <w:bCs/>
                <w:sz w:val="24"/>
                <w:szCs w:val="24"/>
                <w:lang w:eastAsia="zh-CN"/>
              </w:rPr>
              <w:t>规模。</w:t>
            </w:r>
          </w:p>
          <w:p w14:paraId="69D57DB0" w14:textId="20EC782A" w:rsidR="008E565A" w:rsidRDefault="00AA57CC">
            <w:pPr>
              <w:spacing w:line="360" w:lineRule="auto"/>
              <w:ind w:firstLineChars="200" w:firstLine="480"/>
              <w:jc w:val="both"/>
              <w:rPr>
                <w:rFonts w:ascii="宋体" w:eastAsia="宋体" w:hAnsi="宋体" w:cs="宋体"/>
                <w:bCs/>
                <w:sz w:val="24"/>
                <w:szCs w:val="24"/>
                <w:lang w:eastAsia="zh-CN"/>
              </w:rPr>
            </w:pPr>
            <w:proofErr w:type="gramStart"/>
            <w:r>
              <w:rPr>
                <w:rFonts w:ascii="宋体" w:eastAsia="宋体" w:hAnsi="宋体" w:cs="宋体" w:hint="eastAsia"/>
                <w:bCs/>
                <w:sz w:val="24"/>
                <w:szCs w:val="24"/>
                <w:lang w:eastAsia="zh-CN"/>
              </w:rPr>
              <w:t>固收投资</w:t>
            </w:r>
            <w:proofErr w:type="gramEnd"/>
            <w:r>
              <w:rPr>
                <w:rFonts w:ascii="宋体" w:eastAsia="宋体" w:hAnsi="宋体" w:cs="宋体" w:hint="eastAsia"/>
                <w:bCs/>
                <w:sz w:val="24"/>
                <w:szCs w:val="24"/>
                <w:lang w:eastAsia="zh-CN"/>
              </w:rPr>
              <w:t>方面，经历三季度的收益率上行，债券市场的压力有所释放</w:t>
            </w:r>
            <w:r w:rsidR="00B91A65">
              <w:rPr>
                <w:rFonts w:ascii="宋体" w:eastAsia="宋体" w:hAnsi="宋体" w:cs="宋体" w:hint="eastAsia"/>
                <w:bCs/>
                <w:sz w:val="24"/>
                <w:szCs w:val="24"/>
                <w:lang w:eastAsia="zh-CN"/>
              </w:rPr>
              <w:t>，货币市场持续维持宽松，债券整体套</w:t>
            </w:r>
            <w:proofErr w:type="gramStart"/>
            <w:r w:rsidR="00B91A65">
              <w:rPr>
                <w:rFonts w:ascii="宋体" w:eastAsia="宋体" w:hAnsi="宋体" w:cs="宋体" w:hint="eastAsia"/>
                <w:bCs/>
                <w:sz w:val="24"/>
                <w:szCs w:val="24"/>
                <w:lang w:eastAsia="zh-CN"/>
              </w:rPr>
              <w:t>息环境</w:t>
            </w:r>
            <w:proofErr w:type="gramEnd"/>
            <w:r w:rsidR="00B91A65">
              <w:rPr>
                <w:rFonts w:ascii="宋体" w:eastAsia="宋体" w:hAnsi="宋体" w:cs="宋体" w:hint="eastAsia"/>
                <w:bCs/>
                <w:sz w:val="24"/>
                <w:szCs w:val="24"/>
                <w:lang w:eastAsia="zh-CN"/>
              </w:rPr>
              <w:t>已大幅改善。四季度通胀</w:t>
            </w:r>
            <w:r>
              <w:rPr>
                <w:rFonts w:ascii="宋体" w:eastAsia="宋体" w:hAnsi="宋体" w:cs="宋体" w:hint="eastAsia"/>
                <w:bCs/>
                <w:sz w:val="24"/>
                <w:szCs w:val="24"/>
                <w:lang w:eastAsia="zh-CN"/>
              </w:rPr>
              <w:t>温和回升，同时央行恢复国债买卖释放呵护流动性的信号。但另一方面，当前债券利率处于历史低位，进一步下行缺乏强劲催化剂，同时机构行为的潜在压力仍然存在，总的来看，预计下一阶段债券利率上行风险不大，但下行动力也不足。固收投资方面，将重点</w:t>
            </w:r>
            <w:r>
              <w:rPr>
                <w:rFonts w:ascii="宋体" w:eastAsia="宋体" w:hAnsi="宋体" w:cs="宋体" w:hint="eastAsia"/>
                <w:bCs/>
                <w:sz w:val="24"/>
                <w:szCs w:val="24"/>
                <w:lang w:eastAsia="zh"/>
              </w:rPr>
              <w:t>关注</w:t>
            </w:r>
            <w:r>
              <w:rPr>
                <w:rFonts w:ascii="宋体" w:eastAsia="宋体" w:hAnsi="宋体" w:cs="宋体" w:hint="eastAsia"/>
                <w:bCs/>
                <w:sz w:val="24"/>
                <w:szCs w:val="24"/>
                <w:lang w:eastAsia="zh-CN"/>
              </w:rPr>
              <w:t>利差充分、息差较高的资产，同时保持总体利率风险敞口基本稳定</w:t>
            </w:r>
            <w:r>
              <w:rPr>
                <w:rFonts w:ascii="宋体" w:eastAsia="宋体" w:hAnsi="宋体" w:cs="宋体"/>
                <w:bCs/>
                <w:sz w:val="24"/>
                <w:szCs w:val="24"/>
                <w:lang w:eastAsia="zh-CN"/>
              </w:rPr>
              <w:t>。</w:t>
            </w:r>
          </w:p>
          <w:p w14:paraId="483DCFC0" w14:textId="77777777" w:rsidR="008E565A" w:rsidRDefault="008E565A" w:rsidP="003F1757">
            <w:pPr>
              <w:spacing w:line="360" w:lineRule="auto"/>
              <w:jc w:val="both"/>
              <w:rPr>
                <w:rFonts w:ascii="宋体" w:eastAsia="宋体" w:hAnsi="宋体" w:cs="宋体"/>
                <w:bCs/>
                <w:sz w:val="24"/>
                <w:szCs w:val="24"/>
                <w:lang w:eastAsia="zh-CN"/>
              </w:rPr>
            </w:pPr>
          </w:p>
          <w:p w14:paraId="7DA7C3DC" w14:textId="3C9E3DCB" w:rsidR="008E565A" w:rsidRDefault="00AA57CC">
            <w:pPr>
              <w:spacing w:line="360" w:lineRule="auto"/>
              <w:jc w:val="both"/>
              <w:rPr>
                <w:rFonts w:ascii="宋体" w:eastAsia="宋体" w:hAnsi="宋体" w:cs="宋体"/>
                <w:b/>
                <w:sz w:val="24"/>
                <w:szCs w:val="24"/>
                <w:lang w:eastAsia="zh-CN"/>
              </w:rPr>
            </w:pPr>
            <w:bookmarkStart w:id="1" w:name="_Toc23758"/>
            <w:r>
              <w:rPr>
                <w:rFonts w:ascii="宋体" w:eastAsia="宋体" w:hAnsi="宋体" w:cs="宋体" w:hint="eastAsia"/>
                <w:b/>
                <w:sz w:val="24"/>
                <w:szCs w:val="24"/>
                <w:lang w:eastAsia="zh"/>
              </w:rPr>
              <w:t>4</w:t>
            </w:r>
            <w:r>
              <w:rPr>
                <w:rFonts w:ascii="宋体" w:eastAsia="宋体" w:hAnsi="宋体" w:cs="宋体" w:hint="eastAsia"/>
                <w:b/>
                <w:sz w:val="24"/>
                <w:szCs w:val="24"/>
                <w:lang w:eastAsia="zh-CN"/>
              </w:rPr>
              <w:t>、国</w:t>
            </w:r>
            <w:proofErr w:type="gramStart"/>
            <w:r>
              <w:rPr>
                <w:rFonts w:ascii="宋体" w:eastAsia="宋体" w:hAnsi="宋体" w:cs="宋体" w:hint="eastAsia"/>
                <w:b/>
                <w:sz w:val="24"/>
                <w:szCs w:val="24"/>
                <w:lang w:eastAsia="zh-CN"/>
              </w:rPr>
              <w:t>投转债目前转</w:t>
            </w:r>
            <w:proofErr w:type="gramEnd"/>
            <w:r>
              <w:rPr>
                <w:rFonts w:ascii="宋体" w:eastAsia="宋体" w:hAnsi="宋体" w:cs="宋体" w:hint="eastAsia"/>
                <w:b/>
                <w:sz w:val="24"/>
                <w:szCs w:val="24"/>
                <w:lang w:eastAsia="zh-CN"/>
              </w:rPr>
              <w:t>股比例较低，公司是否有计划采取措施创造转股条件？</w:t>
            </w:r>
            <w:bookmarkEnd w:id="1"/>
          </w:p>
          <w:p w14:paraId="7840856E" w14:textId="77777777" w:rsidR="008E565A" w:rsidRDefault="00AA57CC">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公司股票和可转债的二级市场价格受宏观经济环境、市场情绪等多重因素综合影响。目前公司经营稳健，现金流状况良好，公司将依法合</w:t>
            </w:r>
            <w:proofErr w:type="gramStart"/>
            <w:r>
              <w:rPr>
                <w:rFonts w:ascii="宋体" w:eastAsia="宋体" w:hAnsi="宋体" w:cs="宋体" w:hint="eastAsia"/>
                <w:bCs/>
                <w:sz w:val="24"/>
                <w:szCs w:val="24"/>
                <w:lang w:eastAsia="zh-CN"/>
              </w:rPr>
              <w:t>规</w:t>
            </w:r>
            <w:proofErr w:type="gramEnd"/>
            <w:r>
              <w:rPr>
                <w:rFonts w:ascii="宋体" w:eastAsia="宋体" w:hAnsi="宋体" w:cs="宋体" w:hint="eastAsia"/>
                <w:bCs/>
                <w:sz w:val="24"/>
                <w:szCs w:val="24"/>
                <w:lang w:eastAsia="zh-CN"/>
              </w:rPr>
              <w:t>运用股份回购、现金分红、信息披露、投资者关系管理等多种市值管理方式，持续提升经营管理水平和核心竞争力，努力</w:t>
            </w:r>
            <w:r>
              <w:rPr>
                <w:rFonts w:ascii="宋体" w:eastAsia="宋体" w:hAnsi="宋体" w:cs="宋体" w:hint="eastAsia"/>
                <w:bCs/>
                <w:sz w:val="24"/>
                <w:szCs w:val="24"/>
                <w:lang w:eastAsia="zh"/>
              </w:rPr>
              <w:t>推动股价回归合理区间，</w:t>
            </w:r>
            <w:r>
              <w:rPr>
                <w:rFonts w:ascii="宋体" w:eastAsia="宋体" w:hAnsi="宋体" w:cs="宋体" w:hint="eastAsia"/>
                <w:bCs/>
                <w:sz w:val="24"/>
                <w:szCs w:val="24"/>
                <w:lang w:eastAsia="zh-CN"/>
              </w:rPr>
              <w:t>为投资者创造更大价值。公司可转</w:t>
            </w:r>
            <w:proofErr w:type="gramStart"/>
            <w:r>
              <w:rPr>
                <w:rFonts w:ascii="宋体" w:eastAsia="宋体" w:hAnsi="宋体" w:cs="宋体" w:hint="eastAsia"/>
                <w:bCs/>
                <w:sz w:val="24"/>
                <w:szCs w:val="24"/>
                <w:lang w:eastAsia="zh-CN"/>
              </w:rPr>
              <w:t>债相关</w:t>
            </w:r>
            <w:proofErr w:type="gramEnd"/>
            <w:r>
              <w:rPr>
                <w:rFonts w:ascii="宋体" w:eastAsia="宋体" w:hAnsi="宋体" w:cs="宋体" w:hint="eastAsia"/>
                <w:bCs/>
                <w:sz w:val="24"/>
                <w:szCs w:val="24"/>
                <w:lang w:eastAsia="zh-CN"/>
              </w:rPr>
              <w:t>事项敬请以公告为准。</w:t>
            </w:r>
          </w:p>
          <w:p w14:paraId="19500C96" w14:textId="77777777" w:rsidR="008E565A" w:rsidRDefault="008E565A">
            <w:pPr>
              <w:spacing w:line="360" w:lineRule="auto"/>
              <w:ind w:firstLineChars="200" w:firstLine="480"/>
              <w:jc w:val="both"/>
              <w:rPr>
                <w:rFonts w:ascii="宋体" w:eastAsia="宋体" w:hAnsi="宋体" w:cs="宋体"/>
                <w:bCs/>
                <w:sz w:val="24"/>
                <w:szCs w:val="24"/>
                <w:lang w:eastAsia="zh-CN"/>
              </w:rPr>
            </w:pPr>
          </w:p>
          <w:p w14:paraId="05D6E1B9" w14:textId="162D29B3" w:rsidR="008E565A" w:rsidRDefault="00AA57CC">
            <w:pPr>
              <w:spacing w:line="360" w:lineRule="auto"/>
              <w:jc w:val="both"/>
              <w:rPr>
                <w:rFonts w:ascii="宋体" w:eastAsia="宋体" w:hAnsi="宋体" w:cs="宋体"/>
                <w:b/>
                <w:sz w:val="24"/>
                <w:szCs w:val="24"/>
                <w:lang w:eastAsia="zh-CN"/>
              </w:rPr>
            </w:pPr>
            <w:bookmarkStart w:id="2" w:name="_Toc3124"/>
            <w:r>
              <w:rPr>
                <w:rFonts w:ascii="宋体" w:eastAsia="宋体" w:hAnsi="宋体" w:cs="宋体" w:hint="eastAsia"/>
                <w:b/>
                <w:sz w:val="24"/>
                <w:szCs w:val="24"/>
                <w:lang w:eastAsia="zh"/>
              </w:rPr>
              <w:t>5</w:t>
            </w:r>
            <w:r>
              <w:rPr>
                <w:rFonts w:ascii="宋体" w:eastAsia="宋体" w:hAnsi="宋体" w:cs="宋体" w:hint="eastAsia"/>
                <w:b/>
                <w:sz w:val="24"/>
                <w:szCs w:val="24"/>
                <w:lang w:eastAsia="zh-CN"/>
              </w:rPr>
              <w:t>、2025年公司信托业务</w:t>
            </w:r>
            <w:r>
              <w:rPr>
                <w:rFonts w:ascii="宋体" w:eastAsia="宋体" w:hAnsi="宋体" w:cs="宋体" w:hint="eastAsia"/>
                <w:b/>
                <w:sz w:val="24"/>
                <w:szCs w:val="24"/>
                <w:lang w:eastAsia="zh"/>
              </w:rPr>
              <w:t>转型方向和成效如何</w:t>
            </w:r>
            <w:r>
              <w:rPr>
                <w:rFonts w:ascii="宋体" w:eastAsia="宋体" w:hAnsi="宋体" w:cs="宋体" w:hint="eastAsia"/>
                <w:b/>
                <w:sz w:val="24"/>
                <w:szCs w:val="24"/>
                <w:lang w:eastAsia="zh-CN"/>
              </w:rPr>
              <w:t>？</w:t>
            </w:r>
            <w:bookmarkEnd w:id="2"/>
          </w:p>
          <w:p w14:paraId="7FF7E59F" w14:textId="416BC849" w:rsidR="008E565A" w:rsidRDefault="00AA57CC">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
              </w:rPr>
              <w:t>面对新业务分类、新评级标准、新盈利模式和新市场环境等，信托行业面临着较大转型压力及监管环境变化。</w:t>
            </w:r>
            <w:r>
              <w:rPr>
                <w:rFonts w:ascii="宋体" w:eastAsia="宋体" w:hAnsi="宋体" w:cs="宋体" w:hint="eastAsia"/>
                <w:bCs/>
                <w:sz w:val="24"/>
                <w:szCs w:val="24"/>
                <w:lang w:eastAsia="zh-CN"/>
              </w:rPr>
              <w:t>信托公司此前依赖的传统融资类信托业务规模</w:t>
            </w:r>
            <w:r>
              <w:rPr>
                <w:rFonts w:ascii="宋体" w:eastAsia="宋体" w:hAnsi="宋体" w:cs="宋体" w:hint="eastAsia"/>
                <w:bCs/>
                <w:sz w:val="24"/>
                <w:szCs w:val="24"/>
                <w:lang w:eastAsia="zh"/>
              </w:rPr>
              <w:t>有所下降</w:t>
            </w:r>
            <w:r w:rsidR="00DD3A55">
              <w:rPr>
                <w:rFonts w:ascii="宋体" w:eastAsia="宋体" w:hAnsi="宋体" w:cs="宋体" w:hint="eastAsia"/>
                <w:bCs/>
                <w:sz w:val="24"/>
                <w:szCs w:val="24"/>
                <w:lang w:eastAsia="zh-CN"/>
              </w:rPr>
              <w:t>，</w:t>
            </w:r>
            <w:bookmarkStart w:id="3" w:name="_GoBack"/>
            <w:bookmarkEnd w:id="3"/>
            <w:r>
              <w:rPr>
                <w:rFonts w:ascii="宋体" w:eastAsia="宋体" w:hAnsi="宋体" w:cs="宋体" w:hint="eastAsia"/>
                <w:bCs/>
                <w:sz w:val="24"/>
                <w:szCs w:val="24"/>
                <w:lang w:eastAsia="zh-CN"/>
              </w:rPr>
              <w:t>这类业务过去费率相对稳定，其规模收缩直接导致传统业务板块收入同比减少，成为收入</w:t>
            </w:r>
            <w:r>
              <w:rPr>
                <w:rFonts w:ascii="宋体" w:eastAsia="宋体" w:hAnsi="宋体" w:cs="宋体" w:hint="eastAsia"/>
                <w:bCs/>
                <w:sz w:val="24"/>
                <w:szCs w:val="24"/>
                <w:lang w:eastAsia="zh-CN"/>
              </w:rPr>
              <w:lastRenderedPageBreak/>
              <w:t>下滑的主要</w:t>
            </w:r>
            <w:r>
              <w:rPr>
                <w:rFonts w:ascii="宋体" w:eastAsia="宋体" w:hAnsi="宋体" w:cs="宋体" w:hint="eastAsia"/>
                <w:bCs/>
                <w:sz w:val="24"/>
                <w:szCs w:val="24"/>
                <w:lang w:eastAsia="zh"/>
              </w:rPr>
              <w:t>原因</w:t>
            </w:r>
            <w:r>
              <w:rPr>
                <w:rFonts w:ascii="宋体" w:eastAsia="宋体" w:hAnsi="宋体" w:cs="宋体" w:hint="eastAsia"/>
                <w:bCs/>
                <w:sz w:val="24"/>
                <w:szCs w:val="24"/>
                <w:lang w:eastAsia="zh-CN"/>
              </w:rPr>
              <w:t>。</w:t>
            </w:r>
            <w:r>
              <w:rPr>
                <w:rFonts w:ascii="宋体" w:eastAsia="宋体" w:hAnsi="宋体" w:cs="宋体" w:hint="eastAsia"/>
                <w:bCs/>
                <w:sz w:val="24"/>
                <w:szCs w:val="24"/>
                <w:lang w:eastAsia="zh"/>
              </w:rPr>
              <w:t>近年来，国投泰康信托回归本源、聚焦主业，前瞻性压降并严控非标业务规模，</w:t>
            </w:r>
            <w:r>
              <w:rPr>
                <w:rFonts w:ascii="宋体" w:eastAsia="宋体" w:hAnsi="宋体" w:cs="宋体" w:hint="eastAsia"/>
                <w:bCs/>
                <w:sz w:val="24"/>
                <w:szCs w:val="24"/>
                <w:lang w:eastAsia="zh-CN"/>
              </w:rPr>
              <w:t>正积极推进信托业务向财富管理方向转型，</w:t>
            </w:r>
            <w:r>
              <w:rPr>
                <w:rFonts w:ascii="宋体" w:eastAsia="宋体" w:hAnsi="宋体" w:cs="宋体" w:hint="eastAsia"/>
                <w:bCs/>
                <w:sz w:val="24"/>
                <w:szCs w:val="24"/>
                <w:lang w:eastAsia="zh"/>
              </w:rPr>
              <w:t>在家族、家庭、养老与公益慈善信托业务等方面多点发力，构建家庭金融服务体系。截至2025年上半年末，国投泰康信托家族信托业务规模跻身行业前十；家庭信托聚焦特需家庭，制定信托监护标准，完成了全国首单居民住宅不动产信托财产登记；养老信托年内新增规模3亿元；慈善信托新增备案规模9,026万元。此外，上半年发行银行间普惠金融资产ABN产品57单，发行规模519.38亿元，规模和单数排名均为行业第一。</w:t>
            </w:r>
            <w:r>
              <w:rPr>
                <w:rFonts w:ascii="宋体" w:eastAsia="宋体" w:hAnsi="宋体" w:cs="宋体" w:hint="eastAsia"/>
                <w:bCs/>
                <w:sz w:val="24"/>
                <w:szCs w:val="24"/>
                <w:lang w:eastAsia="zh-CN"/>
              </w:rPr>
              <w:t>目前转型业务尚未形成规模化收入，对整体收入的填补作用暂未充分发挥</w:t>
            </w:r>
            <w:r>
              <w:rPr>
                <w:rFonts w:ascii="宋体" w:eastAsia="宋体" w:hAnsi="宋体" w:cs="宋体" w:hint="eastAsia"/>
                <w:bCs/>
                <w:sz w:val="24"/>
                <w:szCs w:val="24"/>
                <w:lang w:eastAsia="zh"/>
              </w:rPr>
              <w:t>，</w:t>
            </w:r>
            <w:r>
              <w:rPr>
                <w:rFonts w:ascii="宋体" w:eastAsia="宋体" w:hAnsi="宋体" w:cs="宋体" w:hint="eastAsia"/>
                <w:bCs/>
                <w:sz w:val="24"/>
                <w:szCs w:val="24"/>
                <w:lang w:eastAsia="zh-CN"/>
              </w:rPr>
              <w:t>家族信托、保险金信托、家庭服务信托</w:t>
            </w:r>
            <w:r>
              <w:rPr>
                <w:rFonts w:ascii="宋体" w:eastAsia="宋体" w:hAnsi="宋体" w:cs="宋体" w:hint="eastAsia"/>
                <w:bCs/>
                <w:sz w:val="24"/>
                <w:szCs w:val="24"/>
                <w:lang w:eastAsia="zh"/>
              </w:rPr>
              <w:t>等</w:t>
            </w:r>
            <w:r>
              <w:rPr>
                <w:rFonts w:ascii="宋体" w:eastAsia="宋体" w:hAnsi="宋体" w:cs="宋体" w:hint="eastAsia"/>
                <w:bCs/>
                <w:sz w:val="24"/>
                <w:szCs w:val="24"/>
                <w:lang w:eastAsia="zh-CN"/>
              </w:rPr>
              <w:t>业务还在培育期，随着业务规模扩大，长期来看有望成为信托利润增长的重要支撑点。</w:t>
            </w:r>
          </w:p>
          <w:p w14:paraId="25634A95" w14:textId="77777777" w:rsidR="008E565A" w:rsidRDefault="008E565A">
            <w:pPr>
              <w:spacing w:line="360" w:lineRule="auto"/>
              <w:ind w:firstLineChars="200" w:firstLine="480"/>
              <w:jc w:val="both"/>
              <w:rPr>
                <w:rFonts w:ascii="宋体" w:eastAsia="宋体" w:hAnsi="宋体" w:cs="宋体"/>
                <w:bCs/>
                <w:sz w:val="24"/>
                <w:szCs w:val="24"/>
                <w:lang w:eastAsia="zh-CN"/>
              </w:rPr>
            </w:pPr>
          </w:p>
          <w:p w14:paraId="46CAACD6" w14:textId="77777777" w:rsidR="008E565A" w:rsidRDefault="008E565A">
            <w:pPr>
              <w:spacing w:line="360" w:lineRule="auto"/>
              <w:ind w:firstLineChars="200" w:firstLine="480"/>
              <w:jc w:val="both"/>
              <w:rPr>
                <w:rFonts w:ascii="宋体" w:eastAsia="宋体" w:hAnsi="宋体" w:cs="宋体"/>
                <w:bCs/>
                <w:sz w:val="24"/>
                <w:szCs w:val="24"/>
                <w:lang w:eastAsia="zh-CN"/>
              </w:rPr>
            </w:pPr>
          </w:p>
          <w:p w14:paraId="0BF8F95E" w14:textId="77777777" w:rsidR="008E565A" w:rsidRDefault="008E565A">
            <w:pPr>
              <w:spacing w:line="360" w:lineRule="auto"/>
              <w:ind w:firstLineChars="200" w:firstLine="480"/>
              <w:jc w:val="both"/>
              <w:rPr>
                <w:rFonts w:ascii="宋体" w:eastAsia="宋体" w:hAnsi="宋体" w:cs="宋体"/>
                <w:bCs/>
                <w:sz w:val="24"/>
                <w:szCs w:val="24"/>
                <w:lang w:eastAsia="zh-CN"/>
              </w:rPr>
            </w:pPr>
          </w:p>
        </w:tc>
      </w:tr>
      <w:tr w:rsidR="008E565A" w14:paraId="3A47CE8C" w14:textId="77777777">
        <w:trPr>
          <w:trHeight w:val="628"/>
          <w:jc w:val="center"/>
        </w:trPr>
        <w:tc>
          <w:tcPr>
            <w:tcW w:w="775" w:type="pct"/>
            <w:vAlign w:val="center"/>
          </w:tcPr>
          <w:p w14:paraId="587E11A0" w14:textId="77777777" w:rsidR="008E565A" w:rsidRDefault="00AA57CC">
            <w:pPr>
              <w:pStyle w:val="TableParagraph"/>
              <w:spacing w:line="360" w:lineRule="auto"/>
              <w:jc w:val="center"/>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lastRenderedPageBreak/>
              <w:t>附件清单</w:t>
            </w:r>
          </w:p>
          <w:p w14:paraId="6F32A309" w14:textId="77777777" w:rsidR="008E565A" w:rsidRDefault="00AA57CC">
            <w:pPr>
              <w:pStyle w:val="TableParagraph"/>
              <w:spacing w:line="360" w:lineRule="auto"/>
              <w:jc w:val="center"/>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（如有）</w:t>
            </w:r>
          </w:p>
        </w:tc>
        <w:tc>
          <w:tcPr>
            <w:tcW w:w="4224" w:type="pct"/>
          </w:tcPr>
          <w:p w14:paraId="0B2E13F4" w14:textId="77777777" w:rsidR="008E565A" w:rsidRDefault="00AA57CC">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无</w:t>
            </w:r>
          </w:p>
        </w:tc>
      </w:tr>
      <w:tr w:rsidR="008E565A" w14:paraId="08B5A2AA" w14:textId="77777777">
        <w:trPr>
          <w:trHeight w:val="628"/>
          <w:jc w:val="center"/>
        </w:trPr>
        <w:tc>
          <w:tcPr>
            <w:tcW w:w="775" w:type="pct"/>
            <w:vAlign w:val="center"/>
          </w:tcPr>
          <w:p w14:paraId="0E6AEBA3" w14:textId="77777777" w:rsidR="008E565A" w:rsidRDefault="00AA57CC">
            <w:pPr>
              <w:pStyle w:val="TableParagraph"/>
              <w:spacing w:line="360" w:lineRule="auto"/>
              <w:jc w:val="center"/>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日期</w:t>
            </w:r>
          </w:p>
        </w:tc>
        <w:tc>
          <w:tcPr>
            <w:tcW w:w="4224" w:type="pct"/>
          </w:tcPr>
          <w:p w14:paraId="75FE7F5C" w14:textId="5B3DDE88" w:rsidR="008E565A" w:rsidRDefault="00AA57CC" w:rsidP="009A0F64">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sz w:val="24"/>
                <w:szCs w:val="24"/>
                <w:lang w:eastAsia="zh-CN"/>
              </w:rPr>
              <w:t>025</w:t>
            </w:r>
            <w:r>
              <w:rPr>
                <w:rFonts w:ascii="宋体" w:eastAsia="宋体" w:hAnsi="宋体" w:cs="宋体" w:hint="eastAsia"/>
                <w:sz w:val="24"/>
                <w:szCs w:val="24"/>
                <w:lang w:eastAsia="zh-CN"/>
              </w:rPr>
              <w:t>年11月1</w:t>
            </w:r>
            <w:r w:rsidR="009A0F64">
              <w:rPr>
                <w:rFonts w:ascii="宋体" w:eastAsia="宋体" w:hAnsi="宋体" w:cs="宋体"/>
                <w:sz w:val="24"/>
                <w:szCs w:val="24"/>
                <w:lang w:eastAsia="zh-CN"/>
              </w:rPr>
              <w:t>4</w:t>
            </w:r>
            <w:r>
              <w:rPr>
                <w:rFonts w:ascii="宋体" w:eastAsia="宋体" w:hAnsi="宋体" w:cs="宋体" w:hint="eastAsia"/>
                <w:sz w:val="24"/>
                <w:szCs w:val="24"/>
                <w:lang w:eastAsia="zh-CN"/>
              </w:rPr>
              <w:t>日</w:t>
            </w:r>
          </w:p>
        </w:tc>
      </w:tr>
    </w:tbl>
    <w:p w14:paraId="292656FB" w14:textId="77777777" w:rsidR="008E565A" w:rsidRDefault="008E565A">
      <w:pPr>
        <w:spacing w:line="360" w:lineRule="auto"/>
        <w:rPr>
          <w:lang w:eastAsia="zh-CN"/>
        </w:rPr>
      </w:pPr>
    </w:p>
    <w:sectPr w:rsidR="008E56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altName w:val="汉仪旗黑KW 55S"/>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AB"/>
    <w:rsid w:val="85BD27E5"/>
    <w:rsid w:val="8B4F2B16"/>
    <w:rsid w:val="8D314B27"/>
    <w:rsid w:val="9AFB4ED3"/>
    <w:rsid w:val="9C7D5715"/>
    <w:rsid w:val="9DF5F7FC"/>
    <w:rsid w:val="9FEE1F81"/>
    <w:rsid w:val="9FFE4244"/>
    <w:rsid w:val="9FFF8C0E"/>
    <w:rsid w:val="9FFFC891"/>
    <w:rsid w:val="A3ABA117"/>
    <w:rsid w:val="A7987A6A"/>
    <w:rsid w:val="AAD7E24D"/>
    <w:rsid w:val="AFDDE264"/>
    <w:rsid w:val="AFF3F438"/>
    <w:rsid w:val="B3AD4DCF"/>
    <w:rsid w:val="B3D8F48A"/>
    <w:rsid w:val="B3DC3E8A"/>
    <w:rsid w:val="B57F23FF"/>
    <w:rsid w:val="B6FD5148"/>
    <w:rsid w:val="B6FE1B5A"/>
    <w:rsid w:val="B7BA8B02"/>
    <w:rsid w:val="B9BC12FD"/>
    <w:rsid w:val="BBF70B63"/>
    <w:rsid w:val="BC5E90AB"/>
    <w:rsid w:val="BDBB1BD4"/>
    <w:rsid w:val="BDD7812E"/>
    <w:rsid w:val="BF3FBC44"/>
    <w:rsid w:val="BF7A9E98"/>
    <w:rsid w:val="BF973903"/>
    <w:rsid w:val="BFB7148B"/>
    <w:rsid w:val="BFBE5CA4"/>
    <w:rsid w:val="BFBF4C53"/>
    <w:rsid w:val="BFBFB160"/>
    <w:rsid w:val="BFDC05FD"/>
    <w:rsid w:val="BFFDB8F9"/>
    <w:rsid w:val="C71CE44D"/>
    <w:rsid w:val="C9DE94D5"/>
    <w:rsid w:val="CEDF54D3"/>
    <w:rsid w:val="CEFB26C3"/>
    <w:rsid w:val="CF7B86C3"/>
    <w:rsid w:val="D07F82D0"/>
    <w:rsid w:val="D6FECD3B"/>
    <w:rsid w:val="DD58B573"/>
    <w:rsid w:val="DD7FD006"/>
    <w:rsid w:val="DDFF0837"/>
    <w:rsid w:val="DE4D828F"/>
    <w:rsid w:val="DEDE44C0"/>
    <w:rsid w:val="DF276A55"/>
    <w:rsid w:val="DF374D42"/>
    <w:rsid w:val="DF5B6641"/>
    <w:rsid w:val="DFBC1368"/>
    <w:rsid w:val="DFD61D6F"/>
    <w:rsid w:val="DFD9A19F"/>
    <w:rsid w:val="DFEDF476"/>
    <w:rsid w:val="DFEF77FC"/>
    <w:rsid w:val="DFFF6DF0"/>
    <w:rsid w:val="E3553478"/>
    <w:rsid w:val="E76E9C74"/>
    <w:rsid w:val="E9EE253A"/>
    <w:rsid w:val="EAFBAD18"/>
    <w:rsid w:val="EBF33341"/>
    <w:rsid w:val="EBFF2A53"/>
    <w:rsid w:val="EC7F9628"/>
    <w:rsid w:val="EDEAED44"/>
    <w:rsid w:val="EEBFC97E"/>
    <w:rsid w:val="EF3049D7"/>
    <w:rsid w:val="EF65F8C7"/>
    <w:rsid w:val="F0FB8A34"/>
    <w:rsid w:val="F1DBC6DA"/>
    <w:rsid w:val="F1FF3FAC"/>
    <w:rsid w:val="F4DE48C3"/>
    <w:rsid w:val="F4DF19B7"/>
    <w:rsid w:val="F5EB8FB5"/>
    <w:rsid w:val="F79117C6"/>
    <w:rsid w:val="F7AF4E0B"/>
    <w:rsid w:val="F7F34FB0"/>
    <w:rsid w:val="F7F865D8"/>
    <w:rsid w:val="F9D75B86"/>
    <w:rsid w:val="F9DF066B"/>
    <w:rsid w:val="FAAE9385"/>
    <w:rsid w:val="FAFFAA81"/>
    <w:rsid w:val="FBB5E16E"/>
    <w:rsid w:val="FBEE500A"/>
    <w:rsid w:val="FD745992"/>
    <w:rsid w:val="FD75B22E"/>
    <w:rsid w:val="FDB2CDF7"/>
    <w:rsid w:val="FDBB3DC7"/>
    <w:rsid w:val="FDF72D5C"/>
    <w:rsid w:val="FEFDE467"/>
    <w:rsid w:val="FEFF2E7C"/>
    <w:rsid w:val="FF16D975"/>
    <w:rsid w:val="FF7CB7BE"/>
    <w:rsid w:val="FF7F0DD6"/>
    <w:rsid w:val="FF7FBDB8"/>
    <w:rsid w:val="FF7FC899"/>
    <w:rsid w:val="FF7FD58F"/>
    <w:rsid w:val="FF978A96"/>
    <w:rsid w:val="FFBF8EDC"/>
    <w:rsid w:val="FFCFE719"/>
    <w:rsid w:val="FFCFFB2E"/>
    <w:rsid w:val="FFD788FC"/>
    <w:rsid w:val="FFE5718A"/>
    <w:rsid w:val="FFF2F469"/>
    <w:rsid w:val="FFF6E2C5"/>
    <w:rsid w:val="FFF7BD68"/>
    <w:rsid w:val="FFFA5BB4"/>
    <w:rsid w:val="FFFAAADA"/>
    <w:rsid w:val="FFFB078C"/>
    <w:rsid w:val="000148E9"/>
    <w:rsid w:val="00014AAE"/>
    <w:rsid w:val="00016597"/>
    <w:rsid w:val="00017D2A"/>
    <w:rsid w:val="00027CAE"/>
    <w:rsid w:val="00031B5F"/>
    <w:rsid w:val="00032A60"/>
    <w:rsid w:val="00036408"/>
    <w:rsid w:val="00036E72"/>
    <w:rsid w:val="000470D1"/>
    <w:rsid w:val="00054DF5"/>
    <w:rsid w:val="00055B99"/>
    <w:rsid w:val="0005661F"/>
    <w:rsid w:val="00065D22"/>
    <w:rsid w:val="00066D38"/>
    <w:rsid w:val="00067B04"/>
    <w:rsid w:val="00072389"/>
    <w:rsid w:val="0007452C"/>
    <w:rsid w:val="00076978"/>
    <w:rsid w:val="00081ACD"/>
    <w:rsid w:val="00083DE4"/>
    <w:rsid w:val="00090633"/>
    <w:rsid w:val="000947A0"/>
    <w:rsid w:val="00094954"/>
    <w:rsid w:val="00096680"/>
    <w:rsid w:val="000A18CB"/>
    <w:rsid w:val="000A1E72"/>
    <w:rsid w:val="000A2CF3"/>
    <w:rsid w:val="000A4FFA"/>
    <w:rsid w:val="000A7E12"/>
    <w:rsid w:val="000B0735"/>
    <w:rsid w:val="000B2048"/>
    <w:rsid w:val="000B2CFA"/>
    <w:rsid w:val="000C3B19"/>
    <w:rsid w:val="000C4B19"/>
    <w:rsid w:val="000E06F4"/>
    <w:rsid w:val="000E4E54"/>
    <w:rsid w:val="000E626B"/>
    <w:rsid w:val="000E7C5E"/>
    <w:rsid w:val="000F58B7"/>
    <w:rsid w:val="000F73AD"/>
    <w:rsid w:val="00100A9F"/>
    <w:rsid w:val="00103293"/>
    <w:rsid w:val="00104A51"/>
    <w:rsid w:val="00105B80"/>
    <w:rsid w:val="001077BA"/>
    <w:rsid w:val="00110B57"/>
    <w:rsid w:val="00122229"/>
    <w:rsid w:val="00123FF4"/>
    <w:rsid w:val="0014139F"/>
    <w:rsid w:val="001424BB"/>
    <w:rsid w:val="001447AB"/>
    <w:rsid w:val="00150E2D"/>
    <w:rsid w:val="00153F05"/>
    <w:rsid w:val="00157969"/>
    <w:rsid w:val="00160234"/>
    <w:rsid w:val="0016104D"/>
    <w:rsid w:val="001625C9"/>
    <w:rsid w:val="00162B32"/>
    <w:rsid w:val="001650D2"/>
    <w:rsid w:val="00165461"/>
    <w:rsid w:val="00165C57"/>
    <w:rsid w:val="00167A71"/>
    <w:rsid w:val="00170C9D"/>
    <w:rsid w:val="00177B62"/>
    <w:rsid w:val="0018188E"/>
    <w:rsid w:val="00184D2F"/>
    <w:rsid w:val="00187B54"/>
    <w:rsid w:val="001925A1"/>
    <w:rsid w:val="001930AC"/>
    <w:rsid w:val="00194183"/>
    <w:rsid w:val="001A4FC1"/>
    <w:rsid w:val="001A707D"/>
    <w:rsid w:val="001B010D"/>
    <w:rsid w:val="001B4730"/>
    <w:rsid w:val="001C4226"/>
    <w:rsid w:val="001C4DB4"/>
    <w:rsid w:val="001D0108"/>
    <w:rsid w:val="001D4AA9"/>
    <w:rsid w:val="001D649E"/>
    <w:rsid w:val="001D77F5"/>
    <w:rsid w:val="001E6195"/>
    <w:rsid w:val="001F159A"/>
    <w:rsid w:val="001F3463"/>
    <w:rsid w:val="001F6105"/>
    <w:rsid w:val="00202356"/>
    <w:rsid w:val="0020443C"/>
    <w:rsid w:val="0021568F"/>
    <w:rsid w:val="002203F7"/>
    <w:rsid w:val="00222A7E"/>
    <w:rsid w:val="00224737"/>
    <w:rsid w:val="002259A0"/>
    <w:rsid w:val="002273F1"/>
    <w:rsid w:val="00231F55"/>
    <w:rsid w:val="0023217F"/>
    <w:rsid w:val="00242BEA"/>
    <w:rsid w:val="00246564"/>
    <w:rsid w:val="00251F75"/>
    <w:rsid w:val="00252C94"/>
    <w:rsid w:val="00253CFA"/>
    <w:rsid w:val="0025645E"/>
    <w:rsid w:val="00266D1B"/>
    <w:rsid w:val="0027122E"/>
    <w:rsid w:val="00273C0D"/>
    <w:rsid w:val="00287367"/>
    <w:rsid w:val="002928F0"/>
    <w:rsid w:val="00296D09"/>
    <w:rsid w:val="002A1E8A"/>
    <w:rsid w:val="002A31A2"/>
    <w:rsid w:val="002B202A"/>
    <w:rsid w:val="002B30F7"/>
    <w:rsid w:val="002C565C"/>
    <w:rsid w:val="002C6050"/>
    <w:rsid w:val="002C6FB7"/>
    <w:rsid w:val="002C745F"/>
    <w:rsid w:val="002D6A0C"/>
    <w:rsid w:val="002E6169"/>
    <w:rsid w:val="002E7451"/>
    <w:rsid w:val="002F1B04"/>
    <w:rsid w:val="002F2500"/>
    <w:rsid w:val="002F2A25"/>
    <w:rsid w:val="002F4391"/>
    <w:rsid w:val="00301F6D"/>
    <w:rsid w:val="00310372"/>
    <w:rsid w:val="00312017"/>
    <w:rsid w:val="003167A9"/>
    <w:rsid w:val="00316F74"/>
    <w:rsid w:val="003202FF"/>
    <w:rsid w:val="00322583"/>
    <w:rsid w:val="003248C3"/>
    <w:rsid w:val="00325DF0"/>
    <w:rsid w:val="00326036"/>
    <w:rsid w:val="0033471F"/>
    <w:rsid w:val="00336EB3"/>
    <w:rsid w:val="00337649"/>
    <w:rsid w:val="00337B40"/>
    <w:rsid w:val="00342B5B"/>
    <w:rsid w:val="00342F27"/>
    <w:rsid w:val="0034416B"/>
    <w:rsid w:val="00346CC0"/>
    <w:rsid w:val="00347DF1"/>
    <w:rsid w:val="00356983"/>
    <w:rsid w:val="00360663"/>
    <w:rsid w:val="00363BE5"/>
    <w:rsid w:val="003650F1"/>
    <w:rsid w:val="00367108"/>
    <w:rsid w:val="00367FC0"/>
    <w:rsid w:val="00371067"/>
    <w:rsid w:val="00374C64"/>
    <w:rsid w:val="00377770"/>
    <w:rsid w:val="003826B0"/>
    <w:rsid w:val="00382DBF"/>
    <w:rsid w:val="003837C1"/>
    <w:rsid w:val="003924B6"/>
    <w:rsid w:val="00392BBD"/>
    <w:rsid w:val="00393ECF"/>
    <w:rsid w:val="0039433B"/>
    <w:rsid w:val="003A01D7"/>
    <w:rsid w:val="003A04AA"/>
    <w:rsid w:val="003A39FA"/>
    <w:rsid w:val="003A3E45"/>
    <w:rsid w:val="003A74DE"/>
    <w:rsid w:val="003B58DC"/>
    <w:rsid w:val="003B7ADC"/>
    <w:rsid w:val="003C1C6F"/>
    <w:rsid w:val="003C2EC7"/>
    <w:rsid w:val="003C6BFD"/>
    <w:rsid w:val="003C7261"/>
    <w:rsid w:val="003C78C6"/>
    <w:rsid w:val="003C7FD6"/>
    <w:rsid w:val="003D136A"/>
    <w:rsid w:val="003D3A6F"/>
    <w:rsid w:val="003D42D8"/>
    <w:rsid w:val="003D46FE"/>
    <w:rsid w:val="003D5B26"/>
    <w:rsid w:val="003D5E27"/>
    <w:rsid w:val="003D6DAC"/>
    <w:rsid w:val="003D7880"/>
    <w:rsid w:val="003D78A2"/>
    <w:rsid w:val="003E00A3"/>
    <w:rsid w:val="003E15D8"/>
    <w:rsid w:val="003E3302"/>
    <w:rsid w:val="003F0B05"/>
    <w:rsid w:val="003F1757"/>
    <w:rsid w:val="003F5250"/>
    <w:rsid w:val="003F64A2"/>
    <w:rsid w:val="003F79D7"/>
    <w:rsid w:val="00402353"/>
    <w:rsid w:val="0040477F"/>
    <w:rsid w:val="0040511F"/>
    <w:rsid w:val="004053F8"/>
    <w:rsid w:val="00405BEB"/>
    <w:rsid w:val="00405FCF"/>
    <w:rsid w:val="00406FA1"/>
    <w:rsid w:val="00413FED"/>
    <w:rsid w:val="00416F3C"/>
    <w:rsid w:val="004170E2"/>
    <w:rsid w:val="00421F79"/>
    <w:rsid w:val="00426363"/>
    <w:rsid w:val="0043089D"/>
    <w:rsid w:val="00436329"/>
    <w:rsid w:val="004405D9"/>
    <w:rsid w:val="004444DD"/>
    <w:rsid w:val="004453B2"/>
    <w:rsid w:val="00445501"/>
    <w:rsid w:val="00445CB6"/>
    <w:rsid w:val="0044707C"/>
    <w:rsid w:val="0045143C"/>
    <w:rsid w:val="00460D83"/>
    <w:rsid w:val="00461410"/>
    <w:rsid w:val="00472048"/>
    <w:rsid w:val="00475699"/>
    <w:rsid w:val="00477A51"/>
    <w:rsid w:val="004801E1"/>
    <w:rsid w:val="0048211B"/>
    <w:rsid w:val="0048544C"/>
    <w:rsid w:val="004863AE"/>
    <w:rsid w:val="00492E29"/>
    <w:rsid w:val="0049378F"/>
    <w:rsid w:val="00494C88"/>
    <w:rsid w:val="004951F5"/>
    <w:rsid w:val="004970BD"/>
    <w:rsid w:val="0049725B"/>
    <w:rsid w:val="004A59C8"/>
    <w:rsid w:val="004A7A9D"/>
    <w:rsid w:val="004B3BCC"/>
    <w:rsid w:val="004B6264"/>
    <w:rsid w:val="004C1423"/>
    <w:rsid w:val="004C560E"/>
    <w:rsid w:val="004E5276"/>
    <w:rsid w:val="004E6EAC"/>
    <w:rsid w:val="005018CF"/>
    <w:rsid w:val="00502159"/>
    <w:rsid w:val="00504AA1"/>
    <w:rsid w:val="00506479"/>
    <w:rsid w:val="0050754A"/>
    <w:rsid w:val="00520903"/>
    <w:rsid w:val="005305A6"/>
    <w:rsid w:val="00530C8C"/>
    <w:rsid w:val="00533EA7"/>
    <w:rsid w:val="0053576A"/>
    <w:rsid w:val="00544593"/>
    <w:rsid w:val="005609EB"/>
    <w:rsid w:val="00561157"/>
    <w:rsid w:val="00564111"/>
    <w:rsid w:val="005700AD"/>
    <w:rsid w:val="0057352D"/>
    <w:rsid w:val="00580A47"/>
    <w:rsid w:val="00586B2E"/>
    <w:rsid w:val="00587F66"/>
    <w:rsid w:val="005928ED"/>
    <w:rsid w:val="00595C07"/>
    <w:rsid w:val="005969E3"/>
    <w:rsid w:val="00596A74"/>
    <w:rsid w:val="005A331E"/>
    <w:rsid w:val="005A3F2F"/>
    <w:rsid w:val="005B0612"/>
    <w:rsid w:val="005B0F88"/>
    <w:rsid w:val="005B16C0"/>
    <w:rsid w:val="005B425C"/>
    <w:rsid w:val="005B5322"/>
    <w:rsid w:val="005C0E6E"/>
    <w:rsid w:val="005D3EA8"/>
    <w:rsid w:val="005D7C52"/>
    <w:rsid w:val="005E04D5"/>
    <w:rsid w:val="005E0AAA"/>
    <w:rsid w:val="005E2E05"/>
    <w:rsid w:val="005F3E61"/>
    <w:rsid w:val="005F64C7"/>
    <w:rsid w:val="00613772"/>
    <w:rsid w:val="0061629F"/>
    <w:rsid w:val="00617469"/>
    <w:rsid w:val="00621B82"/>
    <w:rsid w:val="00624C1F"/>
    <w:rsid w:val="00627D23"/>
    <w:rsid w:val="006301A9"/>
    <w:rsid w:val="00633D57"/>
    <w:rsid w:val="00634EB5"/>
    <w:rsid w:val="006370B7"/>
    <w:rsid w:val="00637767"/>
    <w:rsid w:val="00637E16"/>
    <w:rsid w:val="006438D0"/>
    <w:rsid w:val="00652B88"/>
    <w:rsid w:val="00653ABD"/>
    <w:rsid w:val="00654CD5"/>
    <w:rsid w:val="00661468"/>
    <w:rsid w:val="006725B8"/>
    <w:rsid w:val="00674C2D"/>
    <w:rsid w:val="006751AA"/>
    <w:rsid w:val="00677AA0"/>
    <w:rsid w:val="006838FF"/>
    <w:rsid w:val="006846C2"/>
    <w:rsid w:val="00685236"/>
    <w:rsid w:val="00686D09"/>
    <w:rsid w:val="006877C2"/>
    <w:rsid w:val="00692552"/>
    <w:rsid w:val="00692A9C"/>
    <w:rsid w:val="006A7688"/>
    <w:rsid w:val="006B082F"/>
    <w:rsid w:val="006B2491"/>
    <w:rsid w:val="006B4126"/>
    <w:rsid w:val="006B6D4C"/>
    <w:rsid w:val="006C3EB8"/>
    <w:rsid w:val="006C6E2D"/>
    <w:rsid w:val="006E3278"/>
    <w:rsid w:val="006E60EE"/>
    <w:rsid w:val="006F1F73"/>
    <w:rsid w:val="006F2863"/>
    <w:rsid w:val="006F3A3E"/>
    <w:rsid w:val="006F3D66"/>
    <w:rsid w:val="006F7521"/>
    <w:rsid w:val="0070296B"/>
    <w:rsid w:val="00703C64"/>
    <w:rsid w:val="007058DF"/>
    <w:rsid w:val="00705BEA"/>
    <w:rsid w:val="007074B8"/>
    <w:rsid w:val="00710137"/>
    <w:rsid w:val="00717506"/>
    <w:rsid w:val="007221A0"/>
    <w:rsid w:val="007255C8"/>
    <w:rsid w:val="00726C15"/>
    <w:rsid w:val="0072745A"/>
    <w:rsid w:val="007320A3"/>
    <w:rsid w:val="00733CDF"/>
    <w:rsid w:val="00737D01"/>
    <w:rsid w:val="007410E2"/>
    <w:rsid w:val="0074463C"/>
    <w:rsid w:val="00752B9C"/>
    <w:rsid w:val="00753B3E"/>
    <w:rsid w:val="0075695A"/>
    <w:rsid w:val="00757BB9"/>
    <w:rsid w:val="00760E4E"/>
    <w:rsid w:val="00761977"/>
    <w:rsid w:val="00761B52"/>
    <w:rsid w:val="007630B3"/>
    <w:rsid w:val="00766209"/>
    <w:rsid w:val="00775C0C"/>
    <w:rsid w:val="00776AD1"/>
    <w:rsid w:val="00777293"/>
    <w:rsid w:val="00780620"/>
    <w:rsid w:val="00782458"/>
    <w:rsid w:val="00782C04"/>
    <w:rsid w:val="007837CC"/>
    <w:rsid w:val="00787222"/>
    <w:rsid w:val="00794140"/>
    <w:rsid w:val="00796851"/>
    <w:rsid w:val="007A04F8"/>
    <w:rsid w:val="007A1ABB"/>
    <w:rsid w:val="007A459B"/>
    <w:rsid w:val="007A553A"/>
    <w:rsid w:val="007B33B1"/>
    <w:rsid w:val="007B3B40"/>
    <w:rsid w:val="007B5BCC"/>
    <w:rsid w:val="007B623E"/>
    <w:rsid w:val="007C06EA"/>
    <w:rsid w:val="007D0E77"/>
    <w:rsid w:val="007D0F7A"/>
    <w:rsid w:val="007D5F59"/>
    <w:rsid w:val="007D7CB2"/>
    <w:rsid w:val="007E1505"/>
    <w:rsid w:val="007E3FF7"/>
    <w:rsid w:val="007E433B"/>
    <w:rsid w:val="007E456D"/>
    <w:rsid w:val="007E4B0F"/>
    <w:rsid w:val="007E5E59"/>
    <w:rsid w:val="007E7579"/>
    <w:rsid w:val="007E7F91"/>
    <w:rsid w:val="007F0CC7"/>
    <w:rsid w:val="007F193C"/>
    <w:rsid w:val="007F249D"/>
    <w:rsid w:val="008166BD"/>
    <w:rsid w:val="0081799E"/>
    <w:rsid w:val="00820E75"/>
    <w:rsid w:val="00821D38"/>
    <w:rsid w:val="00823029"/>
    <w:rsid w:val="00823532"/>
    <w:rsid w:val="008236D5"/>
    <w:rsid w:val="008247BA"/>
    <w:rsid w:val="008267DF"/>
    <w:rsid w:val="008312BC"/>
    <w:rsid w:val="0083247D"/>
    <w:rsid w:val="00835978"/>
    <w:rsid w:val="00836C31"/>
    <w:rsid w:val="008377DC"/>
    <w:rsid w:val="008402A7"/>
    <w:rsid w:val="0084452E"/>
    <w:rsid w:val="00845168"/>
    <w:rsid w:val="008468CE"/>
    <w:rsid w:val="008501E8"/>
    <w:rsid w:val="0085206C"/>
    <w:rsid w:val="0085692D"/>
    <w:rsid w:val="00870471"/>
    <w:rsid w:val="00872203"/>
    <w:rsid w:val="0087237C"/>
    <w:rsid w:val="00873832"/>
    <w:rsid w:val="00873B53"/>
    <w:rsid w:val="00893E53"/>
    <w:rsid w:val="00897C24"/>
    <w:rsid w:val="008A2F30"/>
    <w:rsid w:val="008A339A"/>
    <w:rsid w:val="008A710B"/>
    <w:rsid w:val="008B3345"/>
    <w:rsid w:val="008B5441"/>
    <w:rsid w:val="008C31D5"/>
    <w:rsid w:val="008C67C4"/>
    <w:rsid w:val="008C684A"/>
    <w:rsid w:val="008D1011"/>
    <w:rsid w:val="008D194C"/>
    <w:rsid w:val="008D4AFC"/>
    <w:rsid w:val="008E565A"/>
    <w:rsid w:val="008E72FA"/>
    <w:rsid w:val="008F25BA"/>
    <w:rsid w:val="008F2756"/>
    <w:rsid w:val="008F3580"/>
    <w:rsid w:val="008F5BBF"/>
    <w:rsid w:val="00900D5D"/>
    <w:rsid w:val="0090324F"/>
    <w:rsid w:val="00905AE3"/>
    <w:rsid w:val="0090742F"/>
    <w:rsid w:val="0091072F"/>
    <w:rsid w:val="00910ACB"/>
    <w:rsid w:val="00915EE6"/>
    <w:rsid w:val="0092169C"/>
    <w:rsid w:val="009255EA"/>
    <w:rsid w:val="00925620"/>
    <w:rsid w:val="009262CB"/>
    <w:rsid w:val="0093057B"/>
    <w:rsid w:val="00935260"/>
    <w:rsid w:val="009352CD"/>
    <w:rsid w:val="009407F0"/>
    <w:rsid w:val="009425EB"/>
    <w:rsid w:val="009454D6"/>
    <w:rsid w:val="00945E36"/>
    <w:rsid w:val="00947932"/>
    <w:rsid w:val="00956736"/>
    <w:rsid w:val="00966EE6"/>
    <w:rsid w:val="00967559"/>
    <w:rsid w:val="00974C05"/>
    <w:rsid w:val="009758BC"/>
    <w:rsid w:val="00976667"/>
    <w:rsid w:val="0098359C"/>
    <w:rsid w:val="00984014"/>
    <w:rsid w:val="00986BE6"/>
    <w:rsid w:val="009926B1"/>
    <w:rsid w:val="00992FFC"/>
    <w:rsid w:val="009A0F64"/>
    <w:rsid w:val="009A0FC2"/>
    <w:rsid w:val="009A7C81"/>
    <w:rsid w:val="009B04D6"/>
    <w:rsid w:val="009B1052"/>
    <w:rsid w:val="009B1776"/>
    <w:rsid w:val="009B643B"/>
    <w:rsid w:val="009C1718"/>
    <w:rsid w:val="009D2CCE"/>
    <w:rsid w:val="009D2FB8"/>
    <w:rsid w:val="009D79B3"/>
    <w:rsid w:val="009E05A6"/>
    <w:rsid w:val="009E1D6A"/>
    <w:rsid w:val="009E3C5D"/>
    <w:rsid w:val="009E3FFD"/>
    <w:rsid w:val="009E5B4C"/>
    <w:rsid w:val="009E6E3E"/>
    <w:rsid w:val="009E7A34"/>
    <w:rsid w:val="009E7D18"/>
    <w:rsid w:val="009F0110"/>
    <w:rsid w:val="009F2690"/>
    <w:rsid w:val="009F3F72"/>
    <w:rsid w:val="00A00253"/>
    <w:rsid w:val="00A007E1"/>
    <w:rsid w:val="00A00AA2"/>
    <w:rsid w:val="00A20379"/>
    <w:rsid w:val="00A20742"/>
    <w:rsid w:val="00A22CB9"/>
    <w:rsid w:val="00A23C47"/>
    <w:rsid w:val="00A242A5"/>
    <w:rsid w:val="00A327C7"/>
    <w:rsid w:val="00A33378"/>
    <w:rsid w:val="00A35A02"/>
    <w:rsid w:val="00A41BE3"/>
    <w:rsid w:val="00A462BC"/>
    <w:rsid w:val="00A465C0"/>
    <w:rsid w:val="00A50ACE"/>
    <w:rsid w:val="00A51503"/>
    <w:rsid w:val="00A52D19"/>
    <w:rsid w:val="00A5351D"/>
    <w:rsid w:val="00A57B8C"/>
    <w:rsid w:val="00A626DE"/>
    <w:rsid w:val="00A63211"/>
    <w:rsid w:val="00A65A7F"/>
    <w:rsid w:val="00A67ECB"/>
    <w:rsid w:val="00A74FB5"/>
    <w:rsid w:val="00A84F7F"/>
    <w:rsid w:val="00A851B3"/>
    <w:rsid w:val="00A85417"/>
    <w:rsid w:val="00A934B3"/>
    <w:rsid w:val="00A93F34"/>
    <w:rsid w:val="00A94C17"/>
    <w:rsid w:val="00A96DA0"/>
    <w:rsid w:val="00AA0F1B"/>
    <w:rsid w:val="00AA57CC"/>
    <w:rsid w:val="00AB4449"/>
    <w:rsid w:val="00AB5285"/>
    <w:rsid w:val="00AC4121"/>
    <w:rsid w:val="00AC5FC8"/>
    <w:rsid w:val="00AC7D32"/>
    <w:rsid w:val="00AD209E"/>
    <w:rsid w:val="00AD237B"/>
    <w:rsid w:val="00AD307E"/>
    <w:rsid w:val="00AD52A7"/>
    <w:rsid w:val="00AD6515"/>
    <w:rsid w:val="00AE1E56"/>
    <w:rsid w:val="00AE4B58"/>
    <w:rsid w:val="00AE5EAC"/>
    <w:rsid w:val="00AF6CB5"/>
    <w:rsid w:val="00B04E72"/>
    <w:rsid w:val="00B05847"/>
    <w:rsid w:val="00B077B3"/>
    <w:rsid w:val="00B10E1E"/>
    <w:rsid w:val="00B1451C"/>
    <w:rsid w:val="00B14E39"/>
    <w:rsid w:val="00B216F8"/>
    <w:rsid w:val="00B21A61"/>
    <w:rsid w:val="00B24D25"/>
    <w:rsid w:val="00B33012"/>
    <w:rsid w:val="00B34B76"/>
    <w:rsid w:val="00B34E6B"/>
    <w:rsid w:val="00B35609"/>
    <w:rsid w:val="00B4050C"/>
    <w:rsid w:val="00B43745"/>
    <w:rsid w:val="00B45E84"/>
    <w:rsid w:val="00B5656E"/>
    <w:rsid w:val="00B63770"/>
    <w:rsid w:val="00B66C1D"/>
    <w:rsid w:val="00B7149B"/>
    <w:rsid w:val="00B76310"/>
    <w:rsid w:val="00B83AB9"/>
    <w:rsid w:val="00B864D0"/>
    <w:rsid w:val="00B9036B"/>
    <w:rsid w:val="00B91A65"/>
    <w:rsid w:val="00B93394"/>
    <w:rsid w:val="00B94D58"/>
    <w:rsid w:val="00B96C29"/>
    <w:rsid w:val="00BA3002"/>
    <w:rsid w:val="00BA3ECC"/>
    <w:rsid w:val="00BA7FF9"/>
    <w:rsid w:val="00BB1955"/>
    <w:rsid w:val="00BB2199"/>
    <w:rsid w:val="00BB2DE1"/>
    <w:rsid w:val="00BB6042"/>
    <w:rsid w:val="00BC218B"/>
    <w:rsid w:val="00BC36E4"/>
    <w:rsid w:val="00BD34FE"/>
    <w:rsid w:val="00BD5ACC"/>
    <w:rsid w:val="00BE1020"/>
    <w:rsid w:val="00BE365E"/>
    <w:rsid w:val="00BE3F64"/>
    <w:rsid w:val="00BE4903"/>
    <w:rsid w:val="00BE6FD0"/>
    <w:rsid w:val="00BF090C"/>
    <w:rsid w:val="00BF5861"/>
    <w:rsid w:val="00BF7770"/>
    <w:rsid w:val="00C064F9"/>
    <w:rsid w:val="00C070BF"/>
    <w:rsid w:val="00C15F04"/>
    <w:rsid w:val="00C1705D"/>
    <w:rsid w:val="00C1737C"/>
    <w:rsid w:val="00C178F3"/>
    <w:rsid w:val="00C17D61"/>
    <w:rsid w:val="00C266C4"/>
    <w:rsid w:val="00C333E2"/>
    <w:rsid w:val="00C3486C"/>
    <w:rsid w:val="00C36688"/>
    <w:rsid w:val="00C37415"/>
    <w:rsid w:val="00C4107C"/>
    <w:rsid w:val="00C41EE2"/>
    <w:rsid w:val="00C54EEF"/>
    <w:rsid w:val="00C60838"/>
    <w:rsid w:val="00C72C6B"/>
    <w:rsid w:val="00C73D23"/>
    <w:rsid w:val="00C75806"/>
    <w:rsid w:val="00C826EF"/>
    <w:rsid w:val="00C86DD3"/>
    <w:rsid w:val="00C86F83"/>
    <w:rsid w:val="00C9127E"/>
    <w:rsid w:val="00C915B7"/>
    <w:rsid w:val="00C934AB"/>
    <w:rsid w:val="00C9387E"/>
    <w:rsid w:val="00CA7675"/>
    <w:rsid w:val="00CB69FD"/>
    <w:rsid w:val="00CB7DD9"/>
    <w:rsid w:val="00CC4AAA"/>
    <w:rsid w:val="00CC4AD0"/>
    <w:rsid w:val="00CC6270"/>
    <w:rsid w:val="00CD6E6E"/>
    <w:rsid w:val="00CD7A8A"/>
    <w:rsid w:val="00CE1D20"/>
    <w:rsid w:val="00CE7414"/>
    <w:rsid w:val="00CF0B9D"/>
    <w:rsid w:val="00CF39D6"/>
    <w:rsid w:val="00CF3D6D"/>
    <w:rsid w:val="00CF607F"/>
    <w:rsid w:val="00D0187F"/>
    <w:rsid w:val="00D04417"/>
    <w:rsid w:val="00D05402"/>
    <w:rsid w:val="00D17A85"/>
    <w:rsid w:val="00D21C3A"/>
    <w:rsid w:val="00D239F4"/>
    <w:rsid w:val="00D30F47"/>
    <w:rsid w:val="00D3215F"/>
    <w:rsid w:val="00D35144"/>
    <w:rsid w:val="00D36E11"/>
    <w:rsid w:val="00D37619"/>
    <w:rsid w:val="00D401D1"/>
    <w:rsid w:val="00D45B22"/>
    <w:rsid w:val="00D46802"/>
    <w:rsid w:val="00D47BF7"/>
    <w:rsid w:val="00D50FD8"/>
    <w:rsid w:val="00D6108D"/>
    <w:rsid w:val="00D64E8C"/>
    <w:rsid w:val="00D661A8"/>
    <w:rsid w:val="00D67A19"/>
    <w:rsid w:val="00D706FA"/>
    <w:rsid w:val="00D82B9C"/>
    <w:rsid w:val="00D866A3"/>
    <w:rsid w:val="00D947A2"/>
    <w:rsid w:val="00D96257"/>
    <w:rsid w:val="00D96D86"/>
    <w:rsid w:val="00DA2150"/>
    <w:rsid w:val="00DA2E9B"/>
    <w:rsid w:val="00DB279C"/>
    <w:rsid w:val="00DC7B3A"/>
    <w:rsid w:val="00DC7C40"/>
    <w:rsid w:val="00DC7D57"/>
    <w:rsid w:val="00DD3A55"/>
    <w:rsid w:val="00DD5DA3"/>
    <w:rsid w:val="00DD7F32"/>
    <w:rsid w:val="00DE01CF"/>
    <w:rsid w:val="00DE5312"/>
    <w:rsid w:val="00DF2497"/>
    <w:rsid w:val="00DF370C"/>
    <w:rsid w:val="00DF4315"/>
    <w:rsid w:val="00E03ABC"/>
    <w:rsid w:val="00E077A4"/>
    <w:rsid w:val="00E07825"/>
    <w:rsid w:val="00E13140"/>
    <w:rsid w:val="00E149CB"/>
    <w:rsid w:val="00E17B62"/>
    <w:rsid w:val="00E20F12"/>
    <w:rsid w:val="00E30F62"/>
    <w:rsid w:val="00E32998"/>
    <w:rsid w:val="00E330C2"/>
    <w:rsid w:val="00E35321"/>
    <w:rsid w:val="00E40C75"/>
    <w:rsid w:val="00E453E5"/>
    <w:rsid w:val="00E453FB"/>
    <w:rsid w:val="00E50E89"/>
    <w:rsid w:val="00E53C87"/>
    <w:rsid w:val="00E53CDF"/>
    <w:rsid w:val="00E54D1C"/>
    <w:rsid w:val="00E55CCA"/>
    <w:rsid w:val="00E6197D"/>
    <w:rsid w:val="00E62A88"/>
    <w:rsid w:val="00E63C64"/>
    <w:rsid w:val="00E64C3C"/>
    <w:rsid w:val="00E65EF1"/>
    <w:rsid w:val="00E702CC"/>
    <w:rsid w:val="00E707D8"/>
    <w:rsid w:val="00E72181"/>
    <w:rsid w:val="00E73D2D"/>
    <w:rsid w:val="00E74DAF"/>
    <w:rsid w:val="00E763B2"/>
    <w:rsid w:val="00E77B73"/>
    <w:rsid w:val="00E83D52"/>
    <w:rsid w:val="00E84A5F"/>
    <w:rsid w:val="00E9030F"/>
    <w:rsid w:val="00E906AA"/>
    <w:rsid w:val="00E91153"/>
    <w:rsid w:val="00E95125"/>
    <w:rsid w:val="00E9512F"/>
    <w:rsid w:val="00EA0F0B"/>
    <w:rsid w:val="00EA20A5"/>
    <w:rsid w:val="00EA2839"/>
    <w:rsid w:val="00EA4DAC"/>
    <w:rsid w:val="00EB4965"/>
    <w:rsid w:val="00EB4D2B"/>
    <w:rsid w:val="00EB5B38"/>
    <w:rsid w:val="00EB6991"/>
    <w:rsid w:val="00EB71E4"/>
    <w:rsid w:val="00EC260B"/>
    <w:rsid w:val="00EC3298"/>
    <w:rsid w:val="00EC453A"/>
    <w:rsid w:val="00EC6583"/>
    <w:rsid w:val="00ED0627"/>
    <w:rsid w:val="00ED41A0"/>
    <w:rsid w:val="00EE0E47"/>
    <w:rsid w:val="00EE1C7E"/>
    <w:rsid w:val="00EE504F"/>
    <w:rsid w:val="00EF005E"/>
    <w:rsid w:val="00EF275B"/>
    <w:rsid w:val="00F04092"/>
    <w:rsid w:val="00F047D0"/>
    <w:rsid w:val="00F1428D"/>
    <w:rsid w:val="00F162B1"/>
    <w:rsid w:val="00F17BDC"/>
    <w:rsid w:val="00F205A1"/>
    <w:rsid w:val="00F23CAB"/>
    <w:rsid w:val="00F3019A"/>
    <w:rsid w:val="00F326F0"/>
    <w:rsid w:val="00F3602D"/>
    <w:rsid w:val="00F40187"/>
    <w:rsid w:val="00F44724"/>
    <w:rsid w:val="00F44E21"/>
    <w:rsid w:val="00F456A0"/>
    <w:rsid w:val="00F46E7E"/>
    <w:rsid w:val="00F50D26"/>
    <w:rsid w:val="00F511B7"/>
    <w:rsid w:val="00F66EBA"/>
    <w:rsid w:val="00F674CF"/>
    <w:rsid w:val="00F710CF"/>
    <w:rsid w:val="00F7214D"/>
    <w:rsid w:val="00F7744C"/>
    <w:rsid w:val="00F77FA2"/>
    <w:rsid w:val="00F80EC3"/>
    <w:rsid w:val="00F85E5E"/>
    <w:rsid w:val="00F917C6"/>
    <w:rsid w:val="00F961D2"/>
    <w:rsid w:val="00FA25B1"/>
    <w:rsid w:val="00FA2950"/>
    <w:rsid w:val="00FA66C7"/>
    <w:rsid w:val="00FA6E20"/>
    <w:rsid w:val="00FA72BC"/>
    <w:rsid w:val="00FB2469"/>
    <w:rsid w:val="00FB2C97"/>
    <w:rsid w:val="00FC0F4C"/>
    <w:rsid w:val="00FC2400"/>
    <w:rsid w:val="00FC409A"/>
    <w:rsid w:val="00FC696D"/>
    <w:rsid w:val="00FC6D1A"/>
    <w:rsid w:val="00FC74C3"/>
    <w:rsid w:val="00FE3D31"/>
    <w:rsid w:val="00FE7C6B"/>
    <w:rsid w:val="00FF212A"/>
    <w:rsid w:val="00FF6B07"/>
    <w:rsid w:val="02895B83"/>
    <w:rsid w:val="04953539"/>
    <w:rsid w:val="056736ED"/>
    <w:rsid w:val="0A49096C"/>
    <w:rsid w:val="0D39103F"/>
    <w:rsid w:val="0F8B61BD"/>
    <w:rsid w:val="11EF443E"/>
    <w:rsid w:val="179FC67C"/>
    <w:rsid w:val="17BA8EB4"/>
    <w:rsid w:val="17EBA65C"/>
    <w:rsid w:val="197F060A"/>
    <w:rsid w:val="1D8202F5"/>
    <w:rsid w:val="1DF8703A"/>
    <w:rsid w:val="1E885939"/>
    <w:rsid w:val="1F5F7172"/>
    <w:rsid w:val="2271479E"/>
    <w:rsid w:val="23CA2EEB"/>
    <w:rsid w:val="25DAFD08"/>
    <w:rsid w:val="271E3018"/>
    <w:rsid w:val="27FAB017"/>
    <w:rsid w:val="280E5F36"/>
    <w:rsid w:val="28FE12E3"/>
    <w:rsid w:val="29FCD214"/>
    <w:rsid w:val="2B586C2C"/>
    <w:rsid w:val="2EA53E15"/>
    <w:rsid w:val="2EB97679"/>
    <w:rsid w:val="2EDF9B3F"/>
    <w:rsid w:val="2F9F2ADB"/>
    <w:rsid w:val="2FDF39B3"/>
    <w:rsid w:val="341FAB79"/>
    <w:rsid w:val="35ADDC21"/>
    <w:rsid w:val="35F3CF05"/>
    <w:rsid w:val="373FF0BC"/>
    <w:rsid w:val="37BF1532"/>
    <w:rsid w:val="37E9BC1B"/>
    <w:rsid w:val="37FF7930"/>
    <w:rsid w:val="39535398"/>
    <w:rsid w:val="39AE1D92"/>
    <w:rsid w:val="3BFBB15D"/>
    <w:rsid w:val="3DAF4F22"/>
    <w:rsid w:val="3DE19BE7"/>
    <w:rsid w:val="3DFDCAD0"/>
    <w:rsid w:val="3DFE1A71"/>
    <w:rsid w:val="3EB50423"/>
    <w:rsid w:val="3EC57029"/>
    <w:rsid w:val="3EFF5855"/>
    <w:rsid w:val="3F799F0B"/>
    <w:rsid w:val="3FEB336E"/>
    <w:rsid w:val="3FF66F78"/>
    <w:rsid w:val="40D83EF0"/>
    <w:rsid w:val="470A69DC"/>
    <w:rsid w:val="47626028"/>
    <w:rsid w:val="47FA337C"/>
    <w:rsid w:val="491F7C74"/>
    <w:rsid w:val="496F7FD1"/>
    <w:rsid w:val="4BEEAD97"/>
    <w:rsid w:val="4BEF9EE6"/>
    <w:rsid w:val="4DAFF45A"/>
    <w:rsid w:val="4FAF511F"/>
    <w:rsid w:val="4FBC16A0"/>
    <w:rsid w:val="4FF27A41"/>
    <w:rsid w:val="51B93C3A"/>
    <w:rsid w:val="53FAA15A"/>
    <w:rsid w:val="54881AF3"/>
    <w:rsid w:val="56114BB2"/>
    <w:rsid w:val="58E67606"/>
    <w:rsid w:val="59591390"/>
    <w:rsid w:val="59DDFC36"/>
    <w:rsid w:val="5A451B2A"/>
    <w:rsid w:val="5AFDD7D2"/>
    <w:rsid w:val="5BBF6E05"/>
    <w:rsid w:val="5BE84759"/>
    <w:rsid w:val="5BEFF6B9"/>
    <w:rsid w:val="5BF322C4"/>
    <w:rsid w:val="5BFC0190"/>
    <w:rsid w:val="5C3DF2DD"/>
    <w:rsid w:val="5DD0462F"/>
    <w:rsid w:val="5EBBD29B"/>
    <w:rsid w:val="5EC780C5"/>
    <w:rsid w:val="5EDF9B4B"/>
    <w:rsid w:val="5F5E4D67"/>
    <w:rsid w:val="5FBFFCE5"/>
    <w:rsid w:val="5FEF433D"/>
    <w:rsid w:val="60A2791B"/>
    <w:rsid w:val="61EF0660"/>
    <w:rsid w:val="64DF5030"/>
    <w:rsid w:val="663340D6"/>
    <w:rsid w:val="66BCC38C"/>
    <w:rsid w:val="673E3B14"/>
    <w:rsid w:val="676DD906"/>
    <w:rsid w:val="67CC15DC"/>
    <w:rsid w:val="67FFBA07"/>
    <w:rsid w:val="68EF0C90"/>
    <w:rsid w:val="6AFB47F0"/>
    <w:rsid w:val="6B7EE647"/>
    <w:rsid w:val="6BB5E47D"/>
    <w:rsid w:val="6BFFE568"/>
    <w:rsid w:val="6D67FECE"/>
    <w:rsid w:val="6D6F3916"/>
    <w:rsid w:val="6D77CDF5"/>
    <w:rsid w:val="6ED461E0"/>
    <w:rsid w:val="6F1FFA13"/>
    <w:rsid w:val="6FC89E6A"/>
    <w:rsid w:val="6FEFD1DA"/>
    <w:rsid w:val="6FF78C7E"/>
    <w:rsid w:val="6FF79CE2"/>
    <w:rsid w:val="6FFD276C"/>
    <w:rsid w:val="6FFFA323"/>
    <w:rsid w:val="6FFFAD30"/>
    <w:rsid w:val="73EA5239"/>
    <w:rsid w:val="742D382A"/>
    <w:rsid w:val="743948D5"/>
    <w:rsid w:val="747EE0AF"/>
    <w:rsid w:val="74F646C9"/>
    <w:rsid w:val="757995F5"/>
    <w:rsid w:val="766D1DF8"/>
    <w:rsid w:val="76DEDA9D"/>
    <w:rsid w:val="7745027C"/>
    <w:rsid w:val="77F62121"/>
    <w:rsid w:val="77F91926"/>
    <w:rsid w:val="77FF3D96"/>
    <w:rsid w:val="79BA4291"/>
    <w:rsid w:val="79ED8115"/>
    <w:rsid w:val="7A7F0D2C"/>
    <w:rsid w:val="7B7E2CEE"/>
    <w:rsid w:val="7BED8786"/>
    <w:rsid w:val="7CDF426A"/>
    <w:rsid w:val="7CEF0E9F"/>
    <w:rsid w:val="7CF2748B"/>
    <w:rsid w:val="7CF377C1"/>
    <w:rsid w:val="7D21F639"/>
    <w:rsid w:val="7D5D1803"/>
    <w:rsid w:val="7D6914A5"/>
    <w:rsid w:val="7DFD2C51"/>
    <w:rsid w:val="7E59FD60"/>
    <w:rsid w:val="7E7DD1D8"/>
    <w:rsid w:val="7ECCDF75"/>
    <w:rsid w:val="7EE41D5F"/>
    <w:rsid w:val="7EFC7A59"/>
    <w:rsid w:val="7EFD2671"/>
    <w:rsid w:val="7F1EEF94"/>
    <w:rsid w:val="7F25DDFA"/>
    <w:rsid w:val="7F5E86DC"/>
    <w:rsid w:val="7F5F66DB"/>
    <w:rsid w:val="7F6FB23F"/>
    <w:rsid w:val="7FB71FC8"/>
    <w:rsid w:val="7FBDDB16"/>
    <w:rsid w:val="7FBFB3EF"/>
    <w:rsid w:val="7FDECDC5"/>
    <w:rsid w:val="7FEE558B"/>
    <w:rsid w:val="7FF36570"/>
    <w:rsid w:val="7FFD4205"/>
    <w:rsid w:val="7FFF7B26"/>
    <w:rsid w:val="7FFFD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6DB76"/>
  <w15:docId w15:val="{22D202B0-A05F-4042-8567-8D89469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2">
    <w:name w:val="heading 2"/>
    <w:basedOn w:val="a"/>
    <w:next w:val="a"/>
    <w:uiPriority w:val="9"/>
    <w:semiHidden/>
    <w:unhideWhenUsed/>
    <w:qFormat/>
    <w:pPr>
      <w:keepNext/>
      <w:keepLines/>
      <w:spacing w:before="200" w:after="200" w:line="273" w:lineRule="auto"/>
      <w:outlineLvl w:val="1"/>
    </w:pPr>
    <w:rPr>
      <w:rFonts w:ascii="等线" w:eastAsia="等线" w:hAnsi="等线" w:cs="Times New Roman" w:hint="eastAsia"/>
      <w:b/>
      <w:bCs/>
      <w:color w:val="4472C4"/>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Pr>
      <w:kern w:val="2"/>
      <w:sz w:val="21"/>
      <w:szCs w:val="24"/>
      <w:lang w:eastAsia="zh-CN"/>
    </w:rPr>
  </w:style>
  <w:style w:type="paragraph" w:styleId="a5">
    <w:name w:val="Body Text"/>
    <w:basedOn w:val="a"/>
    <w:link w:val="a6"/>
    <w:uiPriority w:val="1"/>
    <w:unhideWhenUsed/>
    <w:qFormat/>
    <w:pPr>
      <w:ind w:left="2028"/>
    </w:pPr>
    <w:rPr>
      <w:rFonts w:ascii="宋体" w:eastAsia="宋体" w:hAnsi="宋体"/>
      <w:sz w:val="24"/>
      <w:szCs w:val="24"/>
    </w:rPr>
  </w:style>
  <w:style w:type="paragraph" w:styleId="a7">
    <w:name w:val="Balloon Text"/>
    <w:basedOn w:val="a"/>
    <w:link w:val="a8"/>
    <w:uiPriority w:val="99"/>
    <w:semiHidden/>
    <w:unhideWhenUsed/>
    <w:qFormat/>
    <w:rPr>
      <w:rFonts w:ascii="Microsoft YaHei UI" w:eastAsia="Microsoft YaHei UI"/>
      <w:sz w:val="18"/>
      <w:szCs w:val="18"/>
    </w:rPr>
  </w:style>
  <w:style w:type="paragraph" w:styleId="a9">
    <w:name w:val="footer"/>
    <w:basedOn w:val="a"/>
    <w:link w:val="aa"/>
    <w:uiPriority w:val="99"/>
    <w:unhideWhenUsed/>
    <w:qFormat/>
    <w:pPr>
      <w:tabs>
        <w:tab w:val="center" w:pos="4153"/>
        <w:tab w:val="right" w:pos="8306"/>
      </w:tabs>
    </w:pPr>
  </w:style>
  <w:style w:type="paragraph" w:styleId="ab">
    <w:name w:val="header"/>
    <w:basedOn w:val="a"/>
    <w:link w:val="ac"/>
    <w:uiPriority w:val="99"/>
    <w:unhideWhenUsed/>
    <w:qFormat/>
    <w:pPr>
      <w:tabs>
        <w:tab w:val="center" w:pos="4153"/>
        <w:tab w:val="right" w:pos="8306"/>
      </w:tabs>
    </w:pPr>
  </w:style>
  <w:style w:type="paragraph" w:styleId="ad">
    <w:name w:val="Normal (Web)"/>
    <w:basedOn w:val="a"/>
    <w:uiPriority w:val="99"/>
    <w:semiHidden/>
    <w:unhideWhenUsed/>
    <w:qFormat/>
    <w:pPr>
      <w:spacing w:beforeAutospacing="1" w:afterAutospacing="1"/>
    </w:pPr>
    <w:rPr>
      <w:rFonts w:cs="Times New Roman"/>
      <w:sz w:val="24"/>
      <w:lang w:eastAsia="zh-CN"/>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character" w:customStyle="1" w:styleId="a6">
    <w:name w:val="正文文本 字符"/>
    <w:basedOn w:val="a0"/>
    <w:link w:val="a5"/>
    <w:uiPriority w:val="1"/>
    <w:qFormat/>
    <w:rPr>
      <w:rFonts w:ascii="宋体" w:eastAsia="宋体" w:hAnsi="宋体"/>
      <w:kern w:val="0"/>
      <w:sz w:val="24"/>
      <w:szCs w:val="24"/>
      <w:lang w:eastAsia="en-US"/>
    </w:rPr>
  </w:style>
  <w:style w:type="paragraph" w:customStyle="1" w:styleId="TableParagraph">
    <w:name w:val="Table Paragraph"/>
    <w:basedOn w:val="a"/>
    <w:uiPriority w:val="1"/>
    <w:qFormat/>
  </w:style>
  <w:style w:type="character" w:customStyle="1" w:styleId="a8">
    <w:name w:val="批注框文本 字符"/>
    <w:basedOn w:val="a0"/>
    <w:link w:val="a7"/>
    <w:uiPriority w:val="99"/>
    <w:semiHidden/>
    <w:qFormat/>
    <w:rPr>
      <w:rFonts w:ascii="Microsoft YaHei UI" w:eastAsia="Microsoft YaHei UI"/>
      <w:kern w:val="0"/>
      <w:sz w:val="18"/>
      <w:szCs w:val="18"/>
      <w:lang w:eastAsia="en-US"/>
    </w:rPr>
  </w:style>
  <w:style w:type="paragraph" w:styleId="af0">
    <w:name w:val="List Paragraph"/>
    <w:basedOn w:val="a"/>
    <w:uiPriority w:val="34"/>
    <w:qFormat/>
    <w:pPr>
      <w:ind w:firstLineChars="200" w:firstLine="420"/>
      <w:jc w:val="both"/>
    </w:pPr>
    <w:rPr>
      <w:kern w:val="2"/>
      <w:sz w:val="21"/>
      <w:lang w:eastAsia="zh-CN"/>
    </w:rPr>
  </w:style>
  <w:style w:type="character" w:customStyle="1" w:styleId="ac">
    <w:name w:val="页眉 字符"/>
    <w:basedOn w:val="a0"/>
    <w:link w:val="ab"/>
    <w:uiPriority w:val="99"/>
    <w:qFormat/>
    <w:rPr>
      <w:kern w:val="0"/>
      <w:sz w:val="22"/>
      <w:lang w:eastAsia="en-US"/>
    </w:rPr>
  </w:style>
  <w:style w:type="character" w:customStyle="1" w:styleId="aa">
    <w:name w:val="页脚 字符"/>
    <w:basedOn w:val="a0"/>
    <w:link w:val="a9"/>
    <w:uiPriority w:val="99"/>
    <w:qFormat/>
    <w:rPr>
      <w:kern w:val="0"/>
      <w:sz w:val="22"/>
      <w:lang w:eastAsia="en-US"/>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鑫海 周</dc:creator>
  <cp:lastModifiedBy>胡斌</cp:lastModifiedBy>
  <cp:revision>11</cp:revision>
  <dcterms:created xsi:type="dcterms:W3CDTF">2024-11-10T09:25:00Z</dcterms:created>
  <dcterms:modified xsi:type="dcterms:W3CDTF">2025-11-14T07:41:00Z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C926C0384F529F10B2D11669E6C7B1CA_43</vt:lpwstr>
  </property>
</Properties>
</file>