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C72A5" w14:textId="1DD3EB40" w:rsidR="008C2611" w:rsidRPr="002E55E6" w:rsidRDefault="001420CD">
      <w:pPr>
        <w:pStyle w:val="1"/>
        <w:rPr>
          <w:rFonts w:ascii="宋体" w:eastAsia="宋体" w:hAnsi="宋体" w:cs="宋体"/>
          <w:sz w:val="24"/>
          <w:szCs w:val="24"/>
          <w:lang w:val="en-US"/>
        </w:rPr>
      </w:pPr>
      <w:r w:rsidRPr="002E55E6">
        <w:rPr>
          <w:rFonts w:ascii="宋体" w:eastAsia="宋体" w:hAnsi="宋体" w:cs="宋体" w:hint="eastAsia"/>
          <w:sz w:val="24"/>
          <w:szCs w:val="24"/>
          <w:lang w:val="en-US"/>
        </w:rPr>
        <w:t xml:space="preserve">证券代码：600927       </w:t>
      </w:r>
      <w:r w:rsidR="002E55E6">
        <w:rPr>
          <w:rFonts w:ascii="宋体" w:eastAsia="宋体" w:hAnsi="宋体" w:cs="宋体" w:hint="eastAsia"/>
          <w:sz w:val="24"/>
          <w:szCs w:val="24"/>
          <w:lang w:val="en-US"/>
        </w:rPr>
        <w:t xml:space="preserve">                            </w:t>
      </w:r>
      <w:r w:rsidRPr="002E55E6">
        <w:rPr>
          <w:rFonts w:ascii="宋体" w:eastAsia="宋体" w:hAnsi="宋体" w:cs="宋体" w:hint="eastAsia"/>
          <w:sz w:val="24"/>
          <w:szCs w:val="24"/>
          <w:lang w:val="en-US"/>
        </w:rPr>
        <w:t>证券简称：永安期货</w:t>
      </w:r>
    </w:p>
    <w:p w14:paraId="1BE0BA43" w14:textId="77777777" w:rsidR="008C2611" w:rsidRDefault="008C2611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19BCFCAA" w14:textId="77777777" w:rsidR="008C2611" w:rsidRPr="002E55E6" w:rsidRDefault="001420CD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2E55E6">
        <w:rPr>
          <w:rFonts w:ascii="宋体" w:eastAsia="宋体" w:hAnsi="宋体" w:cs="宋体" w:hint="eastAsia"/>
          <w:b/>
          <w:bCs/>
          <w:sz w:val="32"/>
          <w:szCs w:val="32"/>
        </w:rPr>
        <w:t>永安期货股份有限公司</w:t>
      </w:r>
    </w:p>
    <w:p w14:paraId="7D6BF9AB" w14:textId="77777777" w:rsidR="008C2611" w:rsidRPr="002E55E6" w:rsidRDefault="001420CD">
      <w:pPr>
        <w:spacing w:line="360" w:lineRule="auto"/>
        <w:jc w:val="center"/>
        <w:rPr>
          <w:rFonts w:ascii="宋体" w:eastAsia="宋体" w:hAnsi="宋体" w:cs="宋体"/>
          <w:sz w:val="32"/>
          <w:szCs w:val="32"/>
        </w:rPr>
      </w:pPr>
      <w:r w:rsidRPr="002E55E6">
        <w:rPr>
          <w:rFonts w:ascii="宋体" w:eastAsia="宋体" w:hAnsi="宋体" w:cs="宋体" w:hint="eastAsia"/>
          <w:b/>
          <w:bCs/>
          <w:sz w:val="32"/>
          <w:szCs w:val="32"/>
        </w:rPr>
        <w:t>投资者关系活动记录表</w:t>
      </w:r>
    </w:p>
    <w:p w14:paraId="39DBAFF4" w14:textId="73AA6322" w:rsidR="008C2611" w:rsidRPr="002E55E6" w:rsidRDefault="001420CD" w:rsidP="001C301B">
      <w:pPr>
        <w:spacing w:before="51" w:after="32"/>
        <w:ind w:right="619"/>
        <w:rPr>
          <w:rFonts w:ascii="宋体" w:eastAsia="宋体" w:hAnsi="宋体" w:cs="宋体"/>
          <w:b/>
          <w:sz w:val="24"/>
          <w:szCs w:val="24"/>
        </w:rPr>
      </w:pPr>
      <w:r w:rsidRPr="002E55E6">
        <w:rPr>
          <w:rFonts w:ascii="宋体" w:eastAsia="宋体" w:hAnsi="宋体" w:cs="宋体" w:hint="eastAsia"/>
          <w:b/>
          <w:sz w:val="24"/>
          <w:szCs w:val="24"/>
        </w:rPr>
        <w:t>编号：</w:t>
      </w:r>
      <w:r w:rsidRPr="002E55E6">
        <w:rPr>
          <w:rFonts w:ascii="宋体" w:eastAsia="宋体" w:hAnsi="宋体" w:cs="宋体" w:hint="eastAsia"/>
          <w:b/>
          <w:sz w:val="24"/>
          <w:szCs w:val="24"/>
          <w:lang w:val="en-US"/>
        </w:rPr>
        <w:t>2025</w:t>
      </w:r>
      <w:bookmarkStart w:id="0" w:name="_GoBack"/>
      <w:bookmarkEnd w:id="0"/>
      <w:r w:rsidRPr="002E55E6">
        <w:rPr>
          <w:rFonts w:ascii="宋体" w:eastAsia="宋体" w:hAnsi="宋体" w:cs="宋体" w:hint="eastAsia"/>
          <w:b/>
          <w:sz w:val="24"/>
          <w:szCs w:val="24"/>
        </w:rPr>
        <w:t>-</w:t>
      </w:r>
      <w:r w:rsidR="00AF19C6">
        <w:rPr>
          <w:rFonts w:ascii="宋体" w:eastAsia="宋体" w:hAnsi="宋体" w:cs="宋体"/>
          <w:b/>
          <w:sz w:val="24"/>
          <w:szCs w:val="24"/>
        </w:rPr>
        <w:t>005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8C2611" w:rsidRPr="002E55E6" w14:paraId="46C8898B" w14:textId="77777777">
        <w:trPr>
          <w:trHeight w:val="2801"/>
          <w:jc w:val="center"/>
        </w:trPr>
        <w:tc>
          <w:tcPr>
            <w:tcW w:w="2580" w:type="dxa"/>
          </w:tcPr>
          <w:p w14:paraId="5D07629C" w14:textId="77777777" w:rsidR="008C2611" w:rsidRPr="002E55E6" w:rsidRDefault="008C2611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201C6CB6" w14:textId="77777777" w:rsidR="008C2611" w:rsidRPr="002E55E6" w:rsidRDefault="001420C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E55E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945" w:type="dxa"/>
          </w:tcPr>
          <w:p w14:paraId="0E69677D" w14:textId="77777777" w:rsidR="008C2611" w:rsidRPr="002E55E6" w:rsidRDefault="008C2611">
            <w:pPr>
              <w:pStyle w:val="TableParagraph"/>
              <w:spacing w:before="7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F4DCA74" w14:textId="77777777" w:rsidR="008C2611" w:rsidRPr="002E55E6" w:rsidRDefault="009D1C3B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0CD" w:rsidRPr="002E55E6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1420CD" w:rsidRPr="002E55E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1420CD" w:rsidRPr="002E55E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0CD" w:rsidRPr="002E55E6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1420CD" w:rsidRPr="002E55E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1420CD" w:rsidRPr="002E55E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0766740B" w14:textId="77777777" w:rsidR="008C2611" w:rsidRPr="002E55E6" w:rsidRDefault="008C2611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F2E8440" w14:textId="10141FBC" w:rsidR="008C2611" w:rsidRPr="002E55E6" w:rsidRDefault="009D1C3B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0CD" w:rsidRPr="002E55E6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1420CD" w:rsidRPr="002E55E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16A1E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1420CD" w:rsidRPr="002E55E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1420CD" w:rsidRPr="002E55E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734ECFA6" w14:textId="77777777" w:rsidR="008C2611" w:rsidRPr="002E55E6" w:rsidRDefault="008C2611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6D052A0" w14:textId="77777777" w:rsidR="008C2611" w:rsidRPr="002E55E6" w:rsidRDefault="009D1C3B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0CD" w:rsidRPr="002E55E6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1420CD" w:rsidRPr="002E55E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1420CD" w:rsidRPr="002E55E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0CD" w:rsidRPr="002E55E6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1420CD" w:rsidRPr="002E55E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3738FAEE" w14:textId="77777777" w:rsidR="008C2611" w:rsidRPr="002E55E6" w:rsidRDefault="008C2611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A2EC995" w14:textId="77777777" w:rsidR="008C2611" w:rsidRPr="002E55E6" w:rsidRDefault="009D1C3B">
            <w:pPr>
              <w:pStyle w:val="TableParagraph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0CD" w:rsidRPr="002E55E6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3F08A2E5" w14:textId="77777777" w:rsidR="008C2611" w:rsidRPr="002E55E6" w:rsidRDefault="008C2611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F62D5DE" w14:textId="77777777" w:rsidR="008C2611" w:rsidRPr="002E55E6" w:rsidRDefault="009D1C3B">
            <w:pPr>
              <w:pStyle w:val="TableParagraph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20CD" w:rsidRPr="002E55E6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</w:rPr>
              <w:t>其他（</w:t>
            </w:r>
            <w:r w:rsidR="001420CD" w:rsidRPr="002E55E6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8C2611" w:rsidRPr="002E55E6" w14:paraId="35A263A0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4138495D" w14:textId="77777777" w:rsidR="008C2611" w:rsidRPr="002E55E6" w:rsidRDefault="001420CD">
            <w:pPr>
              <w:pStyle w:val="TableParagraph"/>
              <w:spacing w:line="560" w:lineRule="exact"/>
              <w:ind w:left="107" w:right="96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E55E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6B076189" w14:textId="3B5201CC" w:rsidR="008C2611" w:rsidRPr="002E55E6" w:rsidRDefault="001420C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 w:rsidRPr="002E55E6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线上参与</w:t>
            </w:r>
            <w:r w:rsidR="00416A1E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公司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2025年第三季度业绩说明会的全体投资者</w:t>
            </w:r>
          </w:p>
        </w:tc>
      </w:tr>
      <w:tr w:rsidR="008C2611" w:rsidRPr="002E55E6" w14:paraId="068075D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3821F1B" w14:textId="77777777" w:rsidR="008C2611" w:rsidRPr="002E55E6" w:rsidRDefault="001420CD">
            <w:pPr>
              <w:pStyle w:val="TableParagraph"/>
              <w:ind w:left="107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E55E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945" w:type="dxa"/>
            <w:vAlign w:val="center"/>
          </w:tcPr>
          <w:p w14:paraId="7FBC48B7" w14:textId="77777777" w:rsidR="008C2611" w:rsidRPr="002E55E6" w:rsidRDefault="001420CD">
            <w:pPr>
              <w:spacing w:before="100" w:beforeAutospacing="1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55E6">
              <w:rPr>
                <w:rFonts w:ascii="宋体" w:eastAsia="宋体" w:hAnsi="宋体" w:cstheme="minorEastAsia" w:hint="eastAsia"/>
                <w:sz w:val="24"/>
                <w:szCs w:val="24"/>
              </w:rPr>
              <w:t>2025年11月14日 10:00-11:00</w:t>
            </w:r>
          </w:p>
        </w:tc>
      </w:tr>
      <w:tr w:rsidR="008C2611" w:rsidRPr="002E55E6" w14:paraId="5EAF5749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0A1CB3B2" w14:textId="77777777" w:rsidR="008C2611" w:rsidRPr="002E55E6" w:rsidRDefault="001420CD">
            <w:pPr>
              <w:pStyle w:val="TableParagraph"/>
              <w:ind w:left="107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E55E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945" w:type="dxa"/>
            <w:vAlign w:val="center"/>
          </w:tcPr>
          <w:p w14:paraId="25376151" w14:textId="77777777" w:rsidR="008C2611" w:rsidRPr="002E55E6" w:rsidRDefault="001420C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t>价值在线（https://www.ir-online.cn/）网络互动</w:t>
            </w:r>
          </w:p>
        </w:tc>
      </w:tr>
      <w:tr w:rsidR="008C2611" w:rsidRPr="002E55E6" w14:paraId="2B25161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A34126E" w14:textId="77777777" w:rsidR="008C2611" w:rsidRPr="002E55E6" w:rsidRDefault="001420C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E55E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C1FC682" w14:textId="77777777" w:rsidR="008C2611" w:rsidRPr="002E55E6" w:rsidRDefault="001420C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t>董事长 黄志明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br/>
              <w:t>总经理 马志伟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br/>
              <w:t>副总经理、董事会秘书、财务总监 黄峥嵘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br/>
              <w:t>独立董事 李小文</w:t>
            </w:r>
          </w:p>
        </w:tc>
      </w:tr>
      <w:tr w:rsidR="008C2611" w:rsidRPr="002E55E6" w14:paraId="590BFEBC" w14:textId="77777777">
        <w:trPr>
          <w:trHeight w:val="2800"/>
          <w:jc w:val="center"/>
        </w:trPr>
        <w:tc>
          <w:tcPr>
            <w:tcW w:w="2580" w:type="dxa"/>
          </w:tcPr>
          <w:p w14:paraId="6821502C" w14:textId="77777777" w:rsidR="008C2611" w:rsidRPr="002E55E6" w:rsidRDefault="008C2611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1D310C57" w14:textId="77777777" w:rsidR="008C2611" w:rsidRPr="002E55E6" w:rsidRDefault="008C2611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7BC27315" w14:textId="77777777" w:rsidR="008C2611" w:rsidRPr="002E55E6" w:rsidRDefault="008C2611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7281867B" w14:textId="77777777" w:rsidR="008C2611" w:rsidRPr="002E55E6" w:rsidRDefault="001420CD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E55E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5945" w:type="dxa"/>
          </w:tcPr>
          <w:p w14:paraId="56369533" w14:textId="699B667D" w:rsidR="008C2611" w:rsidRPr="002E55E6" w:rsidRDefault="001420CD" w:rsidP="001C301B">
            <w:pPr>
              <w:pStyle w:val="TableParagraph"/>
              <w:spacing w:before="100" w:beforeAutospacing="1"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 1.请问目前期货行业整体情况如何？</w:t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t xml:space="preserve">    答:一是行业成交活跃度显著提升。1-9月全国期货市场累计成交量为6,744,160,193手，累计成交额为5,476,154.30亿元，同比分别增长18.29%和24.11%。二是期货公司业绩全面回暖，全行业实现营业收入308.69亿元，净利润88.71亿元，同比分别增加7.37%和32.34%，单月度行业净利润呈稳健增长态势；三是风险管理行业稳步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提升，1-9月，风险管理行业实现净利润12.31亿元，同比增加约34.54%，实现现货购销总额4,072.70亿元，同比增加3.4%。整体来看，行业已走出前期调整阶段，进入成交放量、盈利改善、资金流入的良性发展周期。谢谢。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 2.公司近年业绩表现不佳，请问如何提升核心竞争力？</w:t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t xml:space="preserve">    答:公司将继续以建设一流衍生品投行为战略目标，以产业链风险管家、衍生品资产配置行家、跨境综合金融服务专家为三大战略定位，做大做强各大业务板块，助力实体经济高质量发展和金融强国建设。一是继续推进“以客户为中心”重大改革，全面打响“永动企航”产业服务品牌和“永安财富，衍生幸福”财富服务品牌，推进投研品牌和资管品牌建设，增强客户吸引力。二是要提升风险管理业务的服务质效，坚持“稳价保供 期现先锋”发展定位，围绕拳头品种和优势业务，统筹开展贸易类业务和资金类业务，满足各类实体企业个性化、多元化的需求。同时，作为总部位于浙江的期货公司，将深度参与中国（浙江）自由贸易试验区大宗商品资源配置枢纽建设。三是提高跨境综合金融服务能力。公司将坚持以多元化发展为基础，充分利用期货、证券、资管、清算等境外金融全牌照优势，以中国香港和新加坡为立足点，为客户提供一站式跨境综合金融解决方案，打响“私募出海找永安、全球资配找永安、产业跨境找永安”品牌。公司将以向全资子公司新永安国际金控增资为契机，加速拓展国际业务版图，加快英国子公司建设，为更多金融机构和长期资金“引进来”和“走出去”铺设共赢之路。谢谢。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 3.请问公司在金融科技方面有何成果和规划？</w:t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t xml:space="preserve">    答:公司积极抢抓行业数字化转型的时代机遇，制定了“数智永安”战略规划，加大信息技术投入，在业务数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字化、投研一体化、运营精细化、服务线上化、合规智能化上都取得了丰硕的成果，总体建成了富有永安特色的数字支撑体系，取得了良好的效果。特殊法人账户开户从平均5天提效到1天，仓单交割耗时从1天压缩到30分钟以内，永安研究小程序平均每周新增用户超过600人，合规检查周期从季度调整为日度。未来，公司将持续推进“数智永安”战略，突出数字支撑力，全力推动数字化转型，包括永安期货、永易企、永安管家等APP的智能化升级，提升客户体验和业务处理能力；推动“源点智研”“安仔智答”“永安研究小程序”等工具的迭代升级，提升AI赋能水平；深化“烽燧”系统建设，筑牢合规风控防线。谢谢。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 4.目前，公司的股东户数是多少？</w:t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t xml:space="preserve">    答:截至2025年9月30日，公司的股东户数为3.95万户。谢谢。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 5.公司2025年三季报的经营情况如何？</w:t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t xml:space="preserve">    答:公司2025年前三季度累计实现营业收入83.55亿元，归母净利润4.75亿元，同比增长13.31%。从单季度表现来看，公司第一至第三季度净利润分别为0.09亿元、1.61亿元和3.05亿元，强势延续U型回升态势。值得一提的是，今年第三季度净利润创下公司上市以来单季度盈利新高，为全年业绩目标的达成筑牢根基。谢谢。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 6.能否介绍下公司三季报大幅增长的原因？</w:t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t xml:space="preserve">    答:2025年第三季度公司归母净利润突破3亿元，主要因为公司各项主营业务稳中有进，其中自有资金投资业务收入大幅增长。公司自有资金投资始终坚持践行“稳底座、强核心、拓空间”的投资管理理念，打造成熟、稳健可持续的投资模式。未来，公司将持续改善投资结构，降低整体投资组合波动性，加强投研体系建设，提高收益稳定性，促进外部合作搭建投资生态联盟。谢谢。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 xml:space="preserve">    7.公司在境外业务的发展布局是什么？</w:t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t xml:space="preserve">    答:国际化是期货行业发展的方向，也是公司重大战略布局之一。作为行业最早一批“走出去”的期货子公司，全资子公司新永安国际金控已经具备期货、证券、资管、清算等境外多项金融牌照，近三年，净利润年均复合增长率超40%，在公司的利润占比从4%上升至25%。公司以打造具有国际影响力的永安期货境外业务品牌为目标，确立“一引擎、四轮发展”的战略模型。一是以经纪业务为海外发展引擎，打造有期货特色主经纪商交易模式；二是打造以中国资产、中国管理人为基础的财富管理平台，实现私募出海找永安，全球资配看永安；三是打造产业出海供应链风险解决方案平台，成为产业出海企业在汇率、利率、大宗商品及物流领域的全链条风险管理合作伙伴；四是显著提升国际资本市场声誉与资金实力，增强在全球衍生品与风险管理领域的影响力；五是构建全球智力资本平台，以一流的研究和人才队伍，支撑业务线的可持续发展。谢谢。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 8.请问公司今年在ESG方面有何提升？</w:t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t xml:space="preserve">    答:公司致力于打造期货行业首个ESG品牌，健全ESG治理体系，系统推进社会责任与公司治理的深度融合，进一步提升公司整体竞争力与市场形象。2025年以来，公司积极参照交易所新规要求，从“治理”“战略”“影响、风险和机遇管理”“指标与目标”四个维度强化可持续发展管理，重塑ESG治理体系，完善ESG工作机制，构建ESG配套制度，将董事会“战略发展委员会”调整为“战略与可持续发展委员会”，首批发布可持续发展报告，在ESG治理绩效和治理能力上实现了有效提升。此外，公司在中国上市公司协会举办的2025年上市公司可持续发展优秀实践案例评选活动中荣获“最佳实践案例”，是对公司在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ESG领域探索实践的肯定。谢谢。</w:t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 9.请问公司在投资者关系上有哪些举措？</w:t>
            </w:r>
            <w:r w:rsidRPr="002E55E6">
              <w:rPr>
                <w:rFonts w:ascii="宋体" w:eastAsia="宋体" w:hAnsi="宋体" w:cs="宋体" w:hint="eastAsia"/>
                <w:b/>
                <w:sz w:val="24"/>
                <w:szCs w:val="24"/>
              </w:rPr>
              <w:br/>
            </w: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t xml:space="preserve">    答:公司坚持以投资者为本，持续提升公司信息披露质量，形成尊重投资者、回报投资者的投资者关系管理文化。公司始终将信息披露的真实性、准确性、完整性置于首位，严控信息披露质量，不断提升披露内容的针对性、可读性与实用性，公司连续两年获得上海证券交易所信息披露最高评级--A级；坚持以投资者需求为导向，切实增强投资者获得感，重视投资者回报，从新三板到主板，公司累计分红近17亿元，其中，主板上市以来累计分红超10亿元，占上市融资金额近40%，公司每年度现金分红均占当年归母净利润的30%以上；为更好地维护公司价值与股东权益，保障全体股东利益，增强投资者信心，公司通过集中竞价交易方式已累计回购金额达2千万元，1-9月，公司股价区间涨幅超15%，显著高于非银金融（申万）行业指数。谢谢。</w:t>
            </w:r>
          </w:p>
        </w:tc>
      </w:tr>
      <w:tr w:rsidR="008C2611" w:rsidRPr="002E55E6" w14:paraId="6A3103EC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2CD7E7EA" w14:textId="71DDDA35" w:rsidR="008C2611" w:rsidRPr="002E55E6" w:rsidRDefault="001420CD" w:rsidP="005C385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E55E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5945" w:type="dxa"/>
            <w:vAlign w:val="center"/>
          </w:tcPr>
          <w:p w14:paraId="319CFA8E" w14:textId="77777777" w:rsidR="008C2611" w:rsidRPr="002E55E6" w:rsidRDefault="001420C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t>本次活动不涉及未公开披露的重大信息。</w:t>
            </w:r>
          </w:p>
        </w:tc>
      </w:tr>
      <w:tr w:rsidR="008C2611" w:rsidRPr="002E55E6" w14:paraId="79D393B5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6C7F00F" w14:textId="77777777" w:rsidR="008C2611" w:rsidRPr="002E55E6" w:rsidRDefault="001420C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E55E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2D54012F" w14:textId="09B7C8B8" w:rsidR="008C2611" w:rsidRPr="002E55E6" w:rsidRDefault="00173EFC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E55E6"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</w:p>
        </w:tc>
      </w:tr>
    </w:tbl>
    <w:p w14:paraId="15EF3223" w14:textId="77777777" w:rsidR="008C2611" w:rsidRDefault="008C2611">
      <w:pPr>
        <w:rPr>
          <w:rFonts w:ascii="宋体" w:eastAsia="宋体" w:hAnsi="宋体" w:cs="宋体"/>
          <w:sz w:val="28"/>
          <w:szCs w:val="36"/>
        </w:rPr>
      </w:pPr>
    </w:p>
    <w:sectPr w:rsidR="008C2611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155EA" w14:textId="77777777" w:rsidR="009D1C3B" w:rsidRDefault="009D1C3B" w:rsidP="00173EFC">
      <w:r>
        <w:separator/>
      </w:r>
    </w:p>
  </w:endnote>
  <w:endnote w:type="continuationSeparator" w:id="0">
    <w:p w14:paraId="15A6F56F" w14:textId="77777777" w:rsidR="009D1C3B" w:rsidRDefault="009D1C3B" w:rsidP="0017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3893A" w14:textId="77777777" w:rsidR="009D1C3B" w:rsidRDefault="009D1C3B" w:rsidP="00173EFC">
      <w:r>
        <w:separator/>
      </w:r>
    </w:p>
  </w:footnote>
  <w:footnote w:type="continuationSeparator" w:id="0">
    <w:p w14:paraId="24FBEEDC" w14:textId="77777777" w:rsidR="009D1C3B" w:rsidRDefault="009D1C3B" w:rsidP="0017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420CD"/>
    <w:rsid w:val="00172C24"/>
    <w:rsid w:val="00173EFC"/>
    <w:rsid w:val="001C301B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55E6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16A1E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C385E"/>
    <w:rsid w:val="005D64CA"/>
    <w:rsid w:val="005D6BF4"/>
    <w:rsid w:val="005E5717"/>
    <w:rsid w:val="005E6DB2"/>
    <w:rsid w:val="006054F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B64E0"/>
    <w:rsid w:val="007D0A69"/>
    <w:rsid w:val="007D6DC4"/>
    <w:rsid w:val="00853463"/>
    <w:rsid w:val="00893F25"/>
    <w:rsid w:val="00895035"/>
    <w:rsid w:val="008B2B14"/>
    <w:rsid w:val="008C2611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D1C3B"/>
    <w:rsid w:val="009E1955"/>
    <w:rsid w:val="00A527AA"/>
    <w:rsid w:val="00A5684D"/>
    <w:rsid w:val="00A75C61"/>
    <w:rsid w:val="00A9601B"/>
    <w:rsid w:val="00AD100E"/>
    <w:rsid w:val="00AE1E36"/>
    <w:rsid w:val="00AF19C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0BB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DF5219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570405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13FBB3"/>
  <w15:docId w15:val="{0EE4AD96-B1AE-4BBA-BD52-20284A3D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B53C2-2F7B-4A47-9E74-67137E1C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syw</cp:lastModifiedBy>
  <cp:revision>14</cp:revision>
  <dcterms:created xsi:type="dcterms:W3CDTF">2022-04-12T06:10:00Z</dcterms:created>
  <dcterms:modified xsi:type="dcterms:W3CDTF">2025-11-14T08:48:00Z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eyJoZGlkIjoiOGM5NTU1N2RhMWY0YTA0NTk3MGY0YjY5ODdkZWVlM2UiLCJ1c2VySWQiOiIyNDU4NTQzMjEifQ==</vt:lpwstr>
  </property>
</Properties>
</file>