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6F1B">
      <w:pPr>
        <w:spacing w:line="360" w:lineRule="auto"/>
        <w:jc w:val="left"/>
        <w:rPr>
          <w:rFonts w:ascii="Times" w:hAnsi="Times" w:eastAsia="宋体"/>
          <w:sz w:val="24"/>
          <w:szCs w:val="24"/>
        </w:rPr>
      </w:pPr>
      <w:r>
        <w:rPr>
          <w:rFonts w:ascii="Times" w:hAnsi="Times" w:eastAsia="宋体"/>
          <w:sz w:val="24"/>
          <w:szCs w:val="24"/>
        </w:rPr>
        <w:t>附件5：</w:t>
      </w:r>
    </w:p>
    <w:p w14:paraId="23B7AF07">
      <w:pPr>
        <w:spacing w:line="360" w:lineRule="auto"/>
        <w:ind w:firstLine="562"/>
        <w:jc w:val="center"/>
        <w:rPr>
          <w:rFonts w:ascii="Times" w:hAnsi="Times"/>
          <w:b/>
          <w:sz w:val="28"/>
          <w:szCs w:val="28"/>
        </w:rPr>
      </w:pPr>
      <w:r>
        <w:rPr>
          <w:rFonts w:hint="eastAsia" w:ascii="Times" w:hAnsi="Times"/>
          <w:b/>
          <w:sz w:val="28"/>
          <w:szCs w:val="28"/>
        </w:rPr>
        <w:t>今创集团股份有限公司</w:t>
      </w:r>
    </w:p>
    <w:p w14:paraId="666A42ED">
      <w:pPr>
        <w:spacing w:line="360" w:lineRule="auto"/>
        <w:ind w:firstLine="562"/>
        <w:jc w:val="center"/>
        <w:rPr>
          <w:rFonts w:ascii="Times" w:hAnsi="Times"/>
          <w:b/>
          <w:sz w:val="28"/>
          <w:szCs w:val="28"/>
        </w:rPr>
      </w:pPr>
      <w:r>
        <w:rPr>
          <w:rFonts w:hint="eastAsia" w:ascii="Times" w:hAnsi="Times"/>
          <w:b/>
          <w:sz w:val="28"/>
          <w:szCs w:val="28"/>
        </w:rPr>
        <w:t>投资者关系活动记录表</w:t>
      </w:r>
    </w:p>
    <w:p w14:paraId="47BF0CD6">
      <w:pPr>
        <w:spacing w:line="400" w:lineRule="exact"/>
        <w:rPr>
          <w:rFonts w:ascii="Times" w:hAnsi="Times"/>
        </w:rPr>
      </w:pPr>
    </w:p>
    <w:p w14:paraId="20568031">
      <w:pPr>
        <w:spacing w:line="400" w:lineRule="exact"/>
        <w:jc w:val="left"/>
        <w:rPr>
          <w:rFonts w:ascii="Times" w:hAnsi="Times"/>
          <w:b/>
          <w:sz w:val="24"/>
          <w:szCs w:val="24"/>
        </w:rPr>
      </w:pPr>
      <w:r>
        <w:rPr>
          <w:rFonts w:hint="eastAsia" w:ascii="Times" w:hAnsi="Times"/>
          <w:sz w:val="24"/>
          <w:szCs w:val="24"/>
        </w:rPr>
        <w:t>证券简称：今创集团</w:t>
      </w:r>
      <w:r>
        <w:rPr>
          <w:rFonts w:ascii="Times" w:hAnsi="Times"/>
          <w:sz w:val="24"/>
          <w:szCs w:val="24"/>
        </w:rPr>
        <w:t xml:space="preserve">        </w:t>
      </w:r>
      <w:r>
        <w:rPr>
          <w:rFonts w:hint="eastAsia" w:ascii="Times" w:hAnsi="Times"/>
          <w:sz w:val="24"/>
          <w:szCs w:val="24"/>
        </w:rPr>
        <w:t xml:space="preserve">                           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hint="eastAsia" w:ascii="Times" w:hAnsi="Times"/>
          <w:sz w:val="24"/>
          <w:szCs w:val="24"/>
        </w:rPr>
        <w:t>证券代码：</w:t>
      </w:r>
      <w:r>
        <w:rPr>
          <w:rFonts w:ascii="Times" w:hAnsi="Times"/>
          <w:sz w:val="24"/>
          <w:szCs w:val="24"/>
        </w:rPr>
        <w:t xml:space="preserve">603680        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187"/>
        <w:gridCol w:w="6335"/>
      </w:tblGrid>
      <w:tr w14:paraId="0051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355" w:hRule="atLeast"/>
          <w:jc w:val="center"/>
        </w:trPr>
        <w:tc>
          <w:tcPr>
            <w:tcW w:w="2187" w:type="dxa"/>
            <w:vAlign w:val="center"/>
          </w:tcPr>
          <w:p w14:paraId="7E002127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投资者关系</w:t>
            </w:r>
          </w:p>
          <w:p w14:paraId="75EA0F60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活动类别</w:t>
            </w:r>
          </w:p>
        </w:tc>
        <w:tc>
          <w:tcPr>
            <w:tcW w:w="6335" w:type="dxa"/>
            <w:vAlign w:val="center"/>
          </w:tcPr>
          <w:p w14:paraId="2785F706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</w:rPr>
              <w:t xml:space="preserve">☑  </w:t>
            </w:r>
            <w:r>
              <w:rPr>
                <w:rFonts w:hint="eastAsia" w:ascii="Times" w:hAnsi="Times"/>
                <w:sz w:val="24"/>
                <w:szCs w:val="24"/>
              </w:rPr>
              <w:t>特定对象调研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Calibri"/>
                <w:sz w:val="24"/>
                <w:szCs w:val="24"/>
              </w:rPr>
              <w:t>□</w:t>
            </w:r>
            <w:r>
              <w:rPr>
                <w:rFonts w:hint="eastAsia" w:ascii="Times" w:hAnsi="Times"/>
                <w:sz w:val="24"/>
                <w:szCs w:val="24"/>
              </w:rPr>
              <w:t>分析师会议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Calibri"/>
                <w:sz w:val="24"/>
                <w:szCs w:val="24"/>
              </w:rPr>
              <w:t>□</w:t>
            </w:r>
            <w:r>
              <w:rPr>
                <w:rFonts w:hint="eastAsia" w:ascii="Times" w:hAnsi="Times"/>
                <w:sz w:val="24"/>
                <w:szCs w:val="24"/>
              </w:rPr>
              <w:t>媒体采访</w:t>
            </w:r>
          </w:p>
          <w:p w14:paraId="3CB406C6">
            <w:pPr>
              <w:pStyle w:val="16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业绩说明会</w:t>
            </w:r>
            <w:r>
              <w:rPr>
                <w:rFonts w:ascii="Times" w:hAnsi="Times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Calibri"/>
                <w:sz w:val="24"/>
                <w:szCs w:val="24"/>
              </w:rPr>
              <w:t>□</w:t>
            </w:r>
            <w:r>
              <w:rPr>
                <w:rFonts w:hint="eastAsia" w:ascii="Times" w:hAnsi="Times"/>
                <w:sz w:val="24"/>
                <w:szCs w:val="24"/>
              </w:rPr>
              <w:t>新闻发布会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Calibri"/>
                <w:sz w:val="24"/>
                <w:szCs w:val="24"/>
              </w:rPr>
              <w:t>□</w:t>
            </w:r>
            <w:r>
              <w:rPr>
                <w:rFonts w:hint="eastAsia" w:ascii="Times" w:hAnsi="Times"/>
                <w:sz w:val="24"/>
                <w:szCs w:val="24"/>
              </w:rPr>
              <w:t>路演活动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1820BD90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</w:rPr>
              <w:t xml:space="preserve">☑  </w:t>
            </w:r>
            <w:r>
              <w:rPr>
                <w:rFonts w:hint="eastAsia" w:ascii="Times" w:hAnsi="Times"/>
                <w:sz w:val="24"/>
                <w:szCs w:val="24"/>
              </w:rPr>
              <w:t>现场参观</w:t>
            </w:r>
            <w:r>
              <w:rPr>
                <w:rFonts w:ascii="Times" w:hAnsi="Times"/>
                <w:sz w:val="24"/>
                <w:szCs w:val="24"/>
              </w:rPr>
              <w:t xml:space="preserve">     </w:t>
            </w:r>
            <w:r>
              <w:rPr>
                <w:rFonts w:hint="eastAsia" w:ascii="Calibri" w:hAnsi="Calibri" w:eastAsia="宋体" w:cs="Calibri"/>
                <w:sz w:val="24"/>
                <w:szCs w:val="24"/>
              </w:rPr>
              <w:t>□</w:t>
            </w:r>
            <w:r>
              <w:rPr>
                <w:rFonts w:hint="eastAsia" w:ascii="Times" w:hAnsi="Times"/>
                <w:sz w:val="24"/>
                <w:szCs w:val="24"/>
              </w:rPr>
              <w:t>其他（</w:t>
            </w:r>
            <w:r>
              <w:rPr>
                <w:rFonts w:ascii="Times" w:hAnsi="Times"/>
                <w:sz w:val="24"/>
                <w:szCs w:val="24"/>
              </w:rPr>
              <w:t xml:space="preserve">          </w:t>
            </w:r>
            <w:r>
              <w:rPr>
                <w:rFonts w:hint="eastAsia" w:ascii="Times" w:hAnsi="Times"/>
                <w:sz w:val="24"/>
                <w:szCs w:val="24"/>
              </w:rPr>
              <w:t>）</w:t>
            </w:r>
          </w:p>
        </w:tc>
      </w:tr>
      <w:tr w14:paraId="6B1D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443" w:hRule="atLeast"/>
          <w:jc w:val="center"/>
        </w:trPr>
        <w:tc>
          <w:tcPr>
            <w:tcW w:w="2187" w:type="dxa"/>
            <w:vAlign w:val="center"/>
          </w:tcPr>
          <w:p w14:paraId="1BA090F6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参与单位名称及人员姓名</w:t>
            </w:r>
          </w:p>
        </w:tc>
        <w:tc>
          <w:tcPr>
            <w:tcW w:w="6335" w:type="dxa"/>
            <w:vAlign w:val="center"/>
          </w:tcPr>
          <w:p w14:paraId="056D1E6E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浙商证券、西部证券、尚旌基金、子呈基金、锦泓基金、富檑资产、卓银基金等机构投资者代表9人</w:t>
            </w:r>
          </w:p>
        </w:tc>
      </w:tr>
      <w:tr w14:paraId="1F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43" w:hRule="atLeast"/>
          <w:jc w:val="center"/>
        </w:trPr>
        <w:tc>
          <w:tcPr>
            <w:tcW w:w="2187" w:type="dxa"/>
            <w:vAlign w:val="center"/>
          </w:tcPr>
          <w:p w14:paraId="7233611E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时间</w:t>
            </w:r>
          </w:p>
        </w:tc>
        <w:tc>
          <w:tcPr>
            <w:tcW w:w="6335" w:type="dxa"/>
            <w:vAlign w:val="center"/>
          </w:tcPr>
          <w:p w14:paraId="31CCDED0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2025年11月14日 下午14:00-17:00</w:t>
            </w:r>
          </w:p>
        </w:tc>
      </w:tr>
      <w:tr w14:paraId="0D50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68" w:hRule="atLeast"/>
          <w:jc w:val="center"/>
        </w:trPr>
        <w:tc>
          <w:tcPr>
            <w:tcW w:w="2187" w:type="dxa"/>
            <w:vAlign w:val="center"/>
          </w:tcPr>
          <w:p w14:paraId="583A1248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地点</w:t>
            </w:r>
          </w:p>
        </w:tc>
        <w:tc>
          <w:tcPr>
            <w:tcW w:w="6335" w:type="dxa"/>
            <w:vAlign w:val="center"/>
          </w:tcPr>
          <w:p w14:paraId="1894FA95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常州今创风挡系统有限公司、常州常矿起重机械有限公司、江苏今创车辆有限公司、常州今创电工有限公司、“聚焦今创”</w:t>
            </w:r>
            <w:r>
              <w:rPr>
                <w:rFonts w:ascii="Times" w:hAnsi="Times"/>
                <w:sz w:val="24"/>
                <w:szCs w:val="24"/>
              </w:rPr>
              <w:t>工业展厅</w:t>
            </w:r>
            <w:r>
              <w:rPr>
                <w:rFonts w:hint="eastAsia" w:ascii="Times" w:hAnsi="Times"/>
                <w:sz w:val="24"/>
                <w:szCs w:val="24"/>
              </w:rPr>
              <w:t>、会议室</w:t>
            </w:r>
          </w:p>
        </w:tc>
      </w:tr>
      <w:tr w14:paraId="530F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02" w:hRule="atLeast"/>
          <w:jc w:val="center"/>
        </w:trPr>
        <w:tc>
          <w:tcPr>
            <w:tcW w:w="2187" w:type="dxa"/>
            <w:vAlign w:val="center"/>
          </w:tcPr>
          <w:p w14:paraId="3F8329BC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公司接待人员姓名</w:t>
            </w:r>
          </w:p>
        </w:tc>
        <w:tc>
          <w:tcPr>
            <w:tcW w:w="6335" w:type="dxa"/>
            <w:vAlign w:val="center"/>
          </w:tcPr>
          <w:p w14:paraId="65752597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公司副总经理、董事会秘书高锋；证券事务代表杨明珠</w:t>
            </w:r>
          </w:p>
        </w:tc>
      </w:tr>
      <w:tr w14:paraId="37A5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2E8EFC8B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投资者关系活动主要内容介绍</w:t>
            </w:r>
          </w:p>
        </w:tc>
        <w:tc>
          <w:tcPr>
            <w:tcW w:w="6335" w:type="dxa"/>
            <w:vAlign w:val="center"/>
          </w:tcPr>
          <w:p w14:paraId="7BD227A4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在本次接待中，公司董事会办公室人员引导来访投资者及分析师参观了主要子公司</w:t>
            </w:r>
            <w:r>
              <w:rPr>
                <w:rFonts w:hint="eastAsia" w:ascii="Times" w:hAnsi="Times"/>
                <w:sz w:val="24"/>
                <w:szCs w:val="24"/>
              </w:rPr>
              <w:t>常州今创电工有限公司、常州今创风挡系统有限公司、常州常矿起重机械有限公司、江苏今创车辆有限公司，以及</w:t>
            </w:r>
            <w:r>
              <w:rPr>
                <w:rFonts w:ascii="Times" w:hAnsi="Times"/>
                <w:sz w:val="24"/>
                <w:szCs w:val="24"/>
              </w:rPr>
              <w:t> “聚焦今创”工业展厅，全面介绍了公司核心业务产品、技术与服务体系、市场竞争优势、行业发展现状，以及核心代表产品生产制造流程，使投资者更系统、直观地了解公司整体运营情况，参观结束后，公司</w:t>
            </w:r>
            <w:r>
              <w:rPr>
                <w:rFonts w:hint="eastAsia" w:ascii="Times" w:hAnsi="Times"/>
                <w:sz w:val="24"/>
                <w:szCs w:val="24"/>
                <w:lang w:val="en-US" w:eastAsia="zh-CN"/>
              </w:rPr>
              <w:t>与</w:t>
            </w:r>
            <w:bookmarkStart w:id="3" w:name="_GoBack"/>
            <w:bookmarkEnd w:id="3"/>
            <w:r>
              <w:rPr>
                <w:rFonts w:ascii="Times" w:hAnsi="Times"/>
                <w:sz w:val="24"/>
                <w:szCs w:val="24"/>
              </w:rPr>
              <w:t>来访投资者及分析师就如下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问题进行了补充交流：</w:t>
            </w:r>
          </w:p>
          <w:p w14:paraId="26DDEE02"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spacing w:after="180" w:line="360" w:lineRule="auto"/>
              <w:ind w:firstLine="482" w:firstLineChars="20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请问公司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今年三季度单季度业绩</w:t>
            </w:r>
            <w:bookmarkStart w:id="0" w:name="OLE_LINK3"/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未保持上半年的增速是什么原因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？ </w:t>
            </w:r>
          </w:p>
          <w:bookmarkEnd w:id="0"/>
          <w:p w14:paraId="71AC9990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公司今年上半年业绩增速较快，前三季度营业收入和归母净利润依然分别保持了15.66%和69.79%的增长，其中单三季度单季度业绩未能保持上半年增速原因是多重的。</w:t>
            </w:r>
          </w:p>
          <w:p w14:paraId="624B085E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得益于近年来轨道交通行业逐渐复苏与发展，尤其是国内高铁车辆的需求增加，公司自去年三季度起业绩高速增长，去年上半年归母净利润为1.47亿元，同比增长25.7%，单三季度归母净利润达1.43亿元，同比增长50%，四季度除去受印度3C资产出售计提减值损失的影响，净利润同样保持了高增长。</w:t>
            </w:r>
          </w:p>
          <w:p w14:paraId="52127149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今年公司延续了去年下半年的发展态势，受交付节奏的影响，上半年，尤其是二季度确认收入较多，对比去年上半年尚未激增的业绩，增速尤为明显。</w:t>
            </w:r>
          </w:p>
          <w:p w14:paraId="6B01D68E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到三季度，交付节奏相对平稳放缓，同时，公司前期为控制国际业务风险，提升资产效率和管理效率，处置了印度3C、江苏明昕等部分子公司资产后，相关业务逐步停止，减少了部分营业收入。利润方面，公司计提的减值损失较上年同期增加，对净利润也产生一定影响。</w:t>
            </w:r>
          </w:p>
          <w:bookmarkEnd w:id="1"/>
          <w:p w14:paraId="603EA6E6"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spacing w:after="180" w:line="360" w:lineRule="auto"/>
              <w:ind w:firstLine="482" w:firstLineChars="200"/>
              <w:jc w:val="left"/>
              <w:rPr>
                <w:rFonts w:ascii="Times" w:hAnsi="Times"/>
                <w:sz w:val="24"/>
                <w:szCs w:val="24"/>
              </w:rPr>
            </w:pPr>
            <w:bookmarkStart w:id="2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公司客户的付款周期是多长</w:t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？一般采用什么结算方式？结算上是否会产生风险？</w:t>
            </w:r>
          </w:p>
          <w:p w14:paraId="0B66918F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公司的客户大多为大中型央、国企及境外整车厂商，央、国企付款周期一般为4-6个月，境外客户付款周期一般为3-6个月，公司与客户的结算方式为电汇、承兑汇票、云信等，上述客户资金实力较强，信誉度良好，另外公司也计提了充足的坏账准备，因此总体的风险较小。</w:t>
            </w:r>
          </w:p>
          <w:p w14:paraId="168CBF1F"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spacing w:after="180" w:line="360" w:lineRule="auto"/>
              <w:ind w:firstLine="482" w:firstLineChars="200"/>
              <w:jc w:val="lef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公司的减震产品是否考虑运用到汽车行业？</w:t>
            </w:r>
          </w:p>
          <w:p w14:paraId="704216F5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公司一直深耕的轨道交通车辆配套行业具有业多品种、小批量、变更频、要求高等特点，因此，公司的生产制造模式是高度定制化的，公司的核心优势包括了先进技术研发优势和智敏合一定制化优势。汽车行业更倾向于批量化生产管理，与公司的运营模式有较大差异。</w:t>
            </w:r>
          </w:p>
          <w:p w14:paraId="3BDCFDBA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因此，就目前来看，公司的产品延伸到汽车行业的可能性不大，如后续有合适公司制造模式的产品，可以再做尝试。</w:t>
            </w:r>
          </w:p>
          <w:p w14:paraId="63464203">
            <w:pPr>
              <w:widowControl/>
              <w:shd w:val="clear" w:color="auto" w:fill="FFFFFF"/>
              <w:snapToGrid w:val="0"/>
              <w:spacing w:after="180" w:line="360" w:lineRule="auto"/>
              <w:ind w:firstLine="482" w:firstLineChars="200"/>
              <w:jc w:val="left"/>
              <w:rPr>
                <w:rFonts w:ascii="Times" w:hAnsi="Times"/>
                <w:b/>
                <w:sz w:val="24"/>
                <w:szCs w:val="24"/>
              </w:rPr>
            </w:pPr>
            <w:r>
              <w:rPr>
                <w:rFonts w:hint="eastAsia" w:ascii="Times" w:hAnsi="Times"/>
                <w:b/>
                <w:sz w:val="24"/>
                <w:szCs w:val="24"/>
              </w:rPr>
              <w:t>4、公司最近投资成立了常州今创航空航天产业投资有限公司，是准备切入航空航天赛道吗？</w:t>
            </w:r>
          </w:p>
          <w:p w14:paraId="580598EA">
            <w:pPr>
              <w:widowControl/>
              <w:shd w:val="clear" w:color="auto" w:fill="FFFFFF"/>
              <w:snapToGrid w:val="0"/>
              <w:spacing w:after="180" w:line="360" w:lineRule="auto"/>
              <w:ind w:firstLine="480" w:firstLineChars="200"/>
              <w:jc w:val="left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公司成立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常州今创航空航天产业投资有限公司，确实有计划做商业航空航天产业链的布局，但目前尚在筹备初期，尚未有实质性的进展，如后续有重大进展，公司会及时履行信息披露义务，还请各位投资者注意投资风险。</w:t>
            </w:r>
          </w:p>
        </w:tc>
      </w:tr>
      <w:tr w14:paraId="6AB1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547" w:hRule="atLeast"/>
          <w:jc w:val="center"/>
        </w:trPr>
        <w:tc>
          <w:tcPr>
            <w:tcW w:w="2187" w:type="dxa"/>
            <w:vAlign w:val="center"/>
          </w:tcPr>
          <w:p w14:paraId="0DF53CAF">
            <w:pPr>
              <w:snapToGrid w:val="0"/>
              <w:spacing w:line="400" w:lineRule="exact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" w:hAnsi="Times"/>
                <w:sz w:val="24"/>
                <w:szCs w:val="24"/>
              </w:rPr>
              <w:t>附件清单（如有）</w:t>
            </w:r>
          </w:p>
        </w:tc>
        <w:tc>
          <w:tcPr>
            <w:tcW w:w="6335" w:type="dxa"/>
            <w:vAlign w:val="center"/>
          </w:tcPr>
          <w:p w14:paraId="0A760966">
            <w:pPr>
              <w:pStyle w:val="16"/>
              <w:snapToGrid w:val="0"/>
              <w:spacing w:line="400" w:lineRule="exact"/>
              <w:ind w:firstLine="0" w:firstLineChars="0"/>
              <w:rPr>
                <w:rFonts w:ascii="Times" w:hAnsi="Times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1、现场接待预约及备查登记表；2、承诺函</w:t>
            </w:r>
          </w:p>
        </w:tc>
      </w:tr>
    </w:tbl>
    <w:p w14:paraId="6B2AE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14288"/>
    <w:multiLevelType w:val="singleLevel"/>
    <w:tmpl w:val="1AF1428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597A18"/>
    <w:multiLevelType w:val="multilevel"/>
    <w:tmpl w:val="34597A18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Calibr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00464405"/>
    <w:rsid w:val="0001041E"/>
    <w:rsid w:val="00011348"/>
    <w:rsid w:val="00053188"/>
    <w:rsid w:val="000702D6"/>
    <w:rsid w:val="000C39EE"/>
    <w:rsid w:val="000D2E99"/>
    <w:rsid w:val="000E3317"/>
    <w:rsid w:val="00114F40"/>
    <w:rsid w:val="00183CA3"/>
    <w:rsid w:val="00196741"/>
    <w:rsid w:val="001E2708"/>
    <w:rsid w:val="002E74D0"/>
    <w:rsid w:val="00387116"/>
    <w:rsid w:val="00404DE2"/>
    <w:rsid w:val="00460D83"/>
    <w:rsid w:val="00464405"/>
    <w:rsid w:val="005062DA"/>
    <w:rsid w:val="0079463F"/>
    <w:rsid w:val="007D39B3"/>
    <w:rsid w:val="007E7708"/>
    <w:rsid w:val="009008FB"/>
    <w:rsid w:val="00910508"/>
    <w:rsid w:val="009455ED"/>
    <w:rsid w:val="00995F36"/>
    <w:rsid w:val="009D7AB6"/>
    <w:rsid w:val="00A62C09"/>
    <w:rsid w:val="00A73616"/>
    <w:rsid w:val="00AF7AA7"/>
    <w:rsid w:val="00B67138"/>
    <w:rsid w:val="00BB40B8"/>
    <w:rsid w:val="00BE2B3F"/>
    <w:rsid w:val="00C63AD8"/>
    <w:rsid w:val="00C715AD"/>
    <w:rsid w:val="00D36AF0"/>
    <w:rsid w:val="00D67ACE"/>
    <w:rsid w:val="00E52B45"/>
    <w:rsid w:val="00E94C31"/>
    <w:rsid w:val="00F03BFE"/>
    <w:rsid w:val="00F22713"/>
    <w:rsid w:val="00F560C0"/>
    <w:rsid w:val="082E65C5"/>
    <w:rsid w:val="0A395367"/>
    <w:rsid w:val="0AF570F6"/>
    <w:rsid w:val="0B3C154F"/>
    <w:rsid w:val="0F0E63CA"/>
    <w:rsid w:val="0F1F049A"/>
    <w:rsid w:val="137F4BD8"/>
    <w:rsid w:val="155816EA"/>
    <w:rsid w:val="1B155DAE"/>
    <w:rsid w:val="1C8B1061"/>
    <w:rsid w:val="24D334FA"/>
    <w:rsid w:val="265C2AE3"/>
    <w:rsid w:val="29F60DE0"/>
    <w:rsid w:val="2F379C5F"/>
    <w:rsid w:val="3BF84253"/>
    <w:rsid w:val="3F125028"/>
    <w:rsid w:val="405A7CCC"/>
    <w:rsid w:val="43626905"/>
    <w:rsid w:val="4A9F4C14"/>
    <w:rsid w:val="4AF56782"/>
    <w:rsid w:val="500D0826"/>
    <w:rsid w:val="51002139"/>
    <w:rsid w:val="542D5D29"/>
    <w:rsid w:val="55E27173"/>
    <w:rsid w:val="5A9771AD"/>
    <w:rsid w:val="5CBB35B4"/>
    <w:rsid w:val="63D96E02"/>
    <w:rsid w:val="63F61C71"/>
    <w:rsid w:val="643D7C1C"/>
    <w:rsid w:val="6D39273C"/>
    <w:rsid w:val="728C5E16"/>
    <w:rsid w:val="76217034"/>
    <w:rsid w:val="78AA6CAB"/>
    <w:rsid w:val="7ACDAD60"/>
    <w:rsid w:val="7B6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4461DA"/>
      <w:u w:val="none"/>
    </w:rPr>
  </w:style>
  <w:style w:type="character" w:styleId="10">
    <w:name w:val="HTML Acronym"/>
    <w:basedOn w:val="7"/>
    <w:semiHidden/>
    <w:unhideWhenUsed/>
    <w:qFormat/>
    <w:uiPriority w:val="99"/>
    <w:rPr>
      <w:caps/>
      <w:spacing w:val="12"/>
    </w:rPr>
  </w:style>
  <w:style w:type="character" w:styleId="11">
    <w:name w:val="HTML Variable"/>
    <w:basedOn w:val="7"/>
    <w:semiHidden/>
    <w:unhideWhenUsed/>
    <w:qFormat/>
    <w:uiPriority w:val="99"/>
    <w:rPr>
      <w:rFonts w:ascii="monospace" w:hAnsi="monospace" w:eastAsia="monospace" w:cs="monospace"/>
      <w:i/>
      <w:sz w:val="24"/>
      <w:szCs w:val="24"/>
    </w:rPr>
  </w:style>
  <w:style w:type="character" w:styleId="12">
    <w:name w:val="Hyperlink"/>
    <w:basedOn w:val="7"/>
    <w:semiHidden/>
    <w:unhideWhenUsed/>
    <w:qFormat/>
    <w:uiPriority w:val="99"/>
    <w:rPr>
      <w:color w:val="4461DA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4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styleId="15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20">
    <w:name w:val="emotion"/>
    <w:basedOn w:val="7"/>
    <w:qFormat/>
    <w:uiPriority w:val="0"/>
    <w:rPr>
      <w:vanish/>
      <w:sz w:val="18"/>
      <w:szCs w:val="18"/>
    </w:rPr>
  </w:style>
  <w:style w:type="character" w:customStyle="1" w:styleId="21">
    <w:name w:val="jbox-icon-error"/>
    <w:basedOn w:val="7"/>
    <w:qFormat/>
    <w:uiPriority w:val="0"/>
  </w:style>
  <w:style w:type="character" w:customStyle="1" w:styleId="22">
    <w:name w:val="jbox-icon-none"/>
    <w:basedOn w:val="7"/>
    <w:qFormat/>
    <w:uiPriority w:val="0"/>
    <w:rPr>
      <w:vanish/>
    </w:rPr>
  </w:style>
  <w:style w:type="character" w:customStyle="1" w:styleId="23">
    <w:name w:val="jbox-icon"/>
    <w:basedOn w:val="7"/>
    <w:qFormat/>
    <w:uiPriority w:val="0"/>
  </w:style>
  <w:style w:type="character" w:customStyle="1" w:styleId="24">
    <w:name w:val="jbox-icon-success"/>
    <w:basedOn w:val="7"/>
    <w:qFormat/>
    <w:uiPriority w:val="0"/>
  </w:style>
  <w:style w:type="character" w:customStyle="1" w:styleId="25">
    <w:name w:val="s_bg4_c2"/>
    <w:basedOn w:val="7"/>
    <w:qFormat/>
    <w:uiPriority w:val="0"/>
  </w:style>
  <w:style w:type="character" w:customStyle="1" w:styleId="26">
    <w:name w:val="s_bg4_c21"/>
    <w:basedOn w:val="7"/>
    <w:qFormat/>
    <w:uiPriority w:val="0"/>
  </w:style>
  <w:style w:type="character" w:customStyle="1" w:styleId="27">
    <w:name w:val="s_bg4_c11"/>
    <w:basedOn w:val="7"/>
    <w:qFormat/>
    <w:uiPriority w:val="0"/>
  </w:style>
  <w:style w:type="character" w:customStyle="1" w:styleId="28">
    <w:name w:val="s_bg4_c12"/>
    <w:basedOn w:val="7"/>
    <w:qFormat/>
    <w:uiPriority w:val="0"/>
  </w:style>
  <w:style w:type="character" w:customStyle="1" w:styleId="29">
    <w:name w:val="jbox-icon-warning"/>
    <w:basedOn w:val="7"/>
    <w:qFormat/>
    <w:uiPriority w:val="0"/>
  </w:style>
  <w:style w:type="character" w:customStyle="1" w:styleId="30">
    <w:name w:val="jbox-icon-question"/>
    <w:basedOn w:val="7"/>
    <w:qFormat/>
    <w:uiPriority w:val="0"/>
  </w:style>
  <w:style w:type="character" w:customStyle="1" w:styleId="31">
    <w:name w:val="jbox-icon-info"/>
    <w:basedOn w:val="7"/>
    <w:qFormat/>
    <w:uiPriority w:val="0"/>
  </w:style>
  <w:style w:type="character" w:customStyle="1" w:styleId="32">
    <w:name w:val="jbox-icon-load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1387</Words>
  <Characters>1435</Characters>
  <Lines>10</Lines>
  <Paragraphs>3</Paragraphs>
  <TotalTime>36</TotalTime>
  <ScaleCrop>false</ScaleCrop>
  <LinksUpToDate>false</LinksUpToDate>
  <CharactersWithSpaces>1508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2025-11-15T09:21:00Z</dcterms:created>
  <dc:creator>个人用户</dc:creator>
  <cp:lastModifiedBy>高锋</cp:lastModifiedBy>
  <cp:lastPrinted>2025-09-10T09:28:00Z</cp:lastPrinted>
  <dcterms:modified xsi:type="dcterms:W3CDTF">2025-11-17T01:19:55Z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DBF46416252E48848E001EB4DC5A8E48_13</vt:lpwstr>
  </property>
  <property fmtid="{D5CDD505-2E9C-101B-9397-08002B2CF9AE}" pid="4" name="KSOTemplateDocerSaveRecord">
    <vt:lpwstr>eyJoZGlkIjoiNDUwMTFkMDI3ZjBmZjczM2Q3M2EwOGI5M2VjYzUzMDkiLCJ1c2VySWQiOiIzODUzMDY0NTYifQ==</vt:lpwstr>
  </property>
</Properties>
</file>