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jc w:val="center"/>
        <w:rPr>
          <w:rFonts w:ascii="CTBiaoSongSJ" w:eastAsia="CTBiaoSongSJ"/>
          <w:sz w:val="44"/>
          <w:szCs w:val="44"/>
        </w:rPr>
      </w:pPr>
      <w:r>
        <w:rPr>
          <w:rFonts w:ascii="CTBiaoSongSJ" w:eastAsia="CTBiaoSongSJ" w:hint="eastAsia"/>
          <w:sz w:val="44"/>
          <w:szCs w:val="44"/>
        </w:rPr>
        <w:t>兖矿能源2</w:t>
      </w:r>
      <w:r>
        <w:rPr>
          <w:rFonts w:ascii="CTBiaoSongSJ" w:eastAsia="CTBiaoSongSJ"/>
          <w:sz w:val="44"/>
          <w:szCs w:val="44"/>
        </w:rPr>
        <w:t>025</w:t>
      </w:r>
      <w:r>
        <w:rPr>
          <w:rFonts w:ascii="CTBiaoSongSJ" w:eastAsia="CTBiaoSongSJ" w:hint="eastAsia"/>
          <w:sz w:val="44"/>
          <w:szCs w:val="44"/>
        </w:rPr>
        <w:t>年第三季度投资者关系活动记录</w:t>
      </w:r>
    </w:p>
    <w:p>
      <w:pPr>
        <w:jc w:val="center"/>
        <w:rPr>
          <w:rFonts w:ascii="CTBiaoSongSJ" w:eastAsia="CTBiaoSongSJ"/>
          <w:sz w:val="44"/>
          <w:szCs w:val="44"/>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985"/>
        <w:gridCol w:w="2542"/>
        <w:gridCol w:w="1568"/>
        <w:gridCol w:w="3251"/>
        <w:gridCol w:w="2561"/>
        <w:gridCol w:w="2126"/>
      </w:tblGrid>
      <w:tr>
        <w:trPr>
          <w:jc w:val="center"/>
        </w:trPr>
        <w:tc>
          <w:tcPr>
            <w:tcW w:w="997" w:type="dxa"/>
            <w:vAlign w:val="center"/>
          </w:tcPr>
          <w:p>
            <w:pPr>
              <w:spacing w:line="400" w:lineRule="exact"/>
              <w:jc w:val="center"/>
              <w:rPr>
                <w:rFonts w:ascii="仿宋_GB2312" w:eastAsia="仿宋_GB2312"/>
                <w:b/>
                <w:bCs/>
                <w:sz w:val="28"/>
                <w:szCs w:val="28"/>
              </w:rPr>
            </w:pPr>
            <w:r>
              <w:rPr>
                <w:rFonts w:ascii="仿宋_GB2312" w:eastAsia="仿宋_GB2312" w:hint="eastAsia"/>
                <w:b/>
                <w:bCs/>
                <w:sz w:val="28"/>
                <w:szCs w:val="28"/>
              </w:rPr>
              <w:t>序号</w:t>
            </w:r>
          </w:p>
        </w:tc>
        <w:tc>
          <w:tcPr>
            <w:tcW w:w="1985" w:type="dxa"/>
            <w:vAlign w:val="center"/>
          </w:tcPr>
          <w:p>
            <w:pPr>
              <w:spacing w:line="400" w:lineRule="exact"/>
              <w:jc w:val="center"/>
              <w:rPr>
                <w:rFonts w:ascii="仿宋_GB2312" w:eastAsia="仿宋_GB2312"/>
                <w:b/>
                <w:bCs/>
                <w:sz w:val="28"/>
                <w:szCs w:val="28"/>
              </w:rPr>
            </w:pPr>
            <w:r>
              <w:rPr>
                <w:rFonts w:ascii="仿宋_GB2312" w:eastAsia="仿宋_GB2312" w:hint="eastAsia"/>
                <w:b/>
                <w:bCs/>
                <w:sz w:val="28"/>
                <w:szCs w:val="28"/>
              </w:rPr>
              <w:t>形式</w:t>
            </w:r>
          </w:p>
        </w:tc>
        <w:tc>
          <w:tcPr>
            <w:tcW w:w="2542"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时间</w:t>
            </w:r>
          </w:p>
        </w:tc>
        <w:tc>
          <w:tcPr>
            <w:tcW w:w="1568"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地点</w:t>
            </w:r>
          </w:p>
        </w:tc>
        <w:tc>
          <w:tcPr>
            <w:tcW w:w="3251"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接待对象</w:t>
            </w:r>
          </w:p>
        </w:tc>
        <w:tc>
          <w:tcPr>
            <w:tcW w:w="2561" w:type="dxa"/>
            <w:vAlign w:val="center"/>
          </w:tcPr>
          <w:p>
            <w:pPr>
              <w:spacing w:line="400" w:lineRule="exact"/>
              <w:jc w:val="center"/>
              <w:rPr>
                <w:rFonts w:ascii="仿宋_GB2312" w:eastAsia="仿宋_GB2312" w:hAnsi="宋体"/>
                <w:b/>
                <w:bCs/>
                <w:sz w:val="28"/>
                <w:szCs w:val="28"/>
              </w:rPr>
            </w:pPr>
            <w:r>
              <w:rPr>
                <w:rFonts w:ascii="仿宋_GB2312" w:eastAsia="仿宋_GB2312" w:hint="eastAsia"/>
                <w:b/>
                <w:bCs/>
                <w:sz w:val="28"/>
                <w:szCs w:val="28"/>
              </w:rPr>
              <w:t>接待人员</w:t>
            </w:r>
          </w:p>
        </w:tc>
        <w:tc>
          <w:tcPr>
            <w:tcW w:w="2126"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是否涉及应当披露重大信息</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7</w:t>
            </w:r>
            <w:r>
              <w:rPr>
                <w:rFonts w:ascii="仿宋_GB2312" w:eastAsia="仿宋_GB2312" w:hAnsi="宋体" w:hint="eastAsia"/>
                <w:sz w:val="28"/>
                <w:szCs w:val="28"/>
              </w:rPr>
              <w:t>月</w:t>
            </w:r>
            <w:r>
              <w:rPr>
                <w:rFonts w:ascii="仿宋_GB2312" w:eastAsia="仿宋_GB2312" w:hAnsi="宋体"/>
                <w:sz w:val="28"/>
                <w:szCs w:val="28"/>
              </w:rPr>
              <w:t>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新华资产</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7</w:t>
            </w:r>
            <w:r>
              <w:rPr>
                <w:rFonts w:ascii="仿宋_GB2312" w:eastAsia="仿宋_GB2312" w:hAnsi="宋体" w:hint="eastAsia"/>
                <w:sz w:val="28"/>
                <w:szCs w:val="28"/>
              </w:rPr>
              <w:t>月</w:t>
            </w:r>
            <w:r>
              <w:rPr>
                <w:rFonts w:ascii="仿宋_GB2312" w:eastAsia="仿宋_GB2312" w:hAnsi="宋体"/>
                <w:sz w:val="28"/>
                <w:szCs w:val="28"/>
              </w:rPr>
              <w:t>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国联基金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pPr>
            <w:r>
              <w:rPr>
                <w:rFonts w:ascii="仿宋_GB2312" w:eastAsia="仿宋_GB2312" w:hAnsi="宋体" w:hint="eastAsia"/>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7</w:t>
            </w:r>
            <w:r>
              <w:rPr>
                <w:rFonts w:ascii="仿宋_GB2312" w:eastAsia="仿宋_GB2312" w:hAnsi="宋体" w:hint="eastAsia"/>
                <w:sz w:val="28"/>
                <w:szCs w:val="28"/>
              </w:rPr>
              <w:t>月</w:t>
            </w:r>
            <w:r>
              <w:rPr>
                <w:rFonts w:ascii="仿宋_GB2312" w:eastAsia="仿宋_GB2312" w:hAnsi="宋体"/>
                <w:sz w:val="28"/>
                <w:szCs w:val="28"/>
              </w:rPr>
              <w:t>10</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长江证券及其客户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w:t>
            </w:r>
            <w:r>
              <w:rPr>
                <w:rFonts w:ascii="仿宋_GB2312" w:eastAsia="仿宋_GB2312" w:hAnsi="宋体"/>
                <w:sz w:val="28"/>
                <w:szCs w:val="28"/>
              </w:rPr>
              <w:t>5</w:t>
            </w:r>
            <w:r>
              <w:rPr>
                <w:rFonts w:ascii="仿宋_GB2312" w:eastAsia="仿宋_GB2312" w:hAnsi="宋体" w:hint="eastAsia"/>
                <w:sz w:val="28"/>
                <w:szCs w:val="28"/>
              </w:rPr>
              <w:t>年</w:t>
            </w:r>
            <w:r>
              <w:rPr>
                <w:rFonts w:ascii="仿宋_GB2312" w:eastAsia="仿宋_GB2312" w:hAnsi="宋体"/>
                <w:sz w:val="28"/>
                <w:szCs w:val="28"/>
              </w:rPr>
              <w:t>7</w:t>
            </w:r>
            <w:r>
              <w:rPr>
                <w:rFonts w:ascii="仿宋_GB2312" w:eastAsia="仿宋_GB2312" w:hAnsi="宋体" w:hint="eastAsia"/>
                <w:sz w:val="28"/>
                <w:szCs w:val="28"/>
              </w:rPr>
              <w:t>月</w:t>
            </w:r>
            <w:r>
              <w:rPr>
                <w:rFonts w:ascii="仿宋_GB2312" w:eastAsia="仿宋_GB2312" w:hAnsi="宋体"/>
                <w:sz w:val="28"/>
                <w:szCs w:val="28"/>
              </w:rPr>
              <w:t>10</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国盛证券及其客户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2025年7月23日</w:t>
            </w:r>
          </w:p>
        </w:tc>
        <w:tc>
          <w:tcPr>
            <w:tcW w:w="1568" w:type="dxa"/>
            <w:vAlign w:val="center"/>
          </w:tcPr>
          <w:p>
            <w:pPr>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招商基金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2025年7月28日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新华资产</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400" w:lineRule="exact"/>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jc w:val="center"/>
              <w:rPr>
                <w:rFonts w:ascii="仿宋_GB2312" w:eastAsia="仿宋_GB2312" w:hAnsi="宋体"/>
                <w:sz w:val="28"/>
                <w:szCs w:val="28"/>
              </w:rPr>
            </w:pPr>
            <w:r>
              <w:rPr>
                <w:rFonts w:ascii="仿宋_GB2312" w:eastAsia="仿宋_GB2312" w:hAnsi="宋体" w:hint="eastAsia"/>
                <w:sz w:val="28"/>
                <w:szCs w:val="28"/>
              </w:rPr>
              <w:t>2025年7月28日</w:t>
            </w:r>
          </w:p>
        </w:tc>
        <w:tc>
          <w:tcPr>
            <w:tcW w:w="1568" w:type="dxa"/>
            <w:vAlign w:val="center"/>
          </w:tcPr>
          <w:p>
            <w:pPr>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广发基金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lastRenderedPageBreak/>
              <w:t>相关业务负责人</w:t>
            </w:r>
          </w:p>
        </w:tc>
        <w:tc>
          <w:tcPr>
            <w:tcW w:w="2126" w:type="dxa"/>
            <w:vAlign w:val="center"/>
          </w:tcPr>
          <w:p>
            <w:pPr>
              <w:jc w:val="center"/>
            </w:pPr>
            <w:r>
              <w:rPr>
                <w:rFonts w:ascii="仿宋_GB2312" w:eastAsia="仿宋_GB2312" w:hAnsi="宋体" w:hint="eastAsia"/>
                <w:sz w:val="28"/>
                <w:szCs w:val="28"/>
              </w:rPr>
              <w:lastRenderedPageBreak/>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2025年8月13日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东方证券</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2025年8月13日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富国基金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2025年8月</w:t>
            </w:r>
            <w:r>
              <w:rPr>
                <w:rFonts w:ascii="仿宋_GB2312" w:eastAsia="仿宋_GB2312" w:hAnsi="宋体"/>
                <w:sz w:val="28"/>
                <w:szCs w:val="28"/>
              </w:rPr>
              <w:t>25</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中欧基金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2025年8月</w:t>
            </w:r>
            <w:r>
              <w:rPr>
                <w:rFonts w:ascii="仿宋_GB2312" w:eastAsia="仿宋_GB2312" w:hAnsi="宋体"/>
                <w:sz w:val="28"/>
                <w:szCs w:val="28"/>
              </w:rPr>
              <w:t>25</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华福证券及其客户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业绩说明会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2025年9月1日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025</w:t>
            </w:r>
            <w:r>
              <w:rPr>
                <w:rFonts w:ascii="仿宋_GB2312" w:eastAsia="仿宋_GB2312" w:hAnsi="宋体" w:hint="eastAsia"/>
                <w:sz w:val="28"/>
                <w:szCs w:val="28"/>
              </w:rPr>
              <w:t>中期业绩说明会</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董事长</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董事、总经理</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财务总监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独立董事</w:t>
            </w:r>
          </w:p>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2025年9月1日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浩然资本</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2025年9月1日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千禧基金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2025年9月1日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point</w:t>
            </w:r>
            <w:r>
              <w:rPr>
                <w:rFonts w:ascii="仿宋_GB2312" w:eastAsia="仿宋_GB2312" w:hAnsi="宋体"/>
                <w:sz w:val="28"/>
                <w:szCs w:val="28"/>
              </w:rPr>
              <w:t xml:space="preserve"> 72</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2025年9月2日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香港</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柏骏资本</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2025年9月2日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宝盈基金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2025年9月2日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景顺长城</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3</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前海人寿</w:t>
            </w:r>
          </w:p>
        </w:tc>
        <w:tc>
          <w:tcPr>
            <w:tcW w:w="2561" w:type="dxa"/>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3</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博时基金</w:t>
            </w:r>
          </w:p>
        </w:tc>
        <w:tc>
          <w:tcPr>
            <w:tcW w:w="2561" w:type="dxa"/>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3</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鹏华基金</w:t>
            </w:r>
          </w:p>
        </w:tc>
        <w:tc>
          <w:tcPr>
            <w:tcW w:w="2561" w:type="dxa"/>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4</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华福证券及其客户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4</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深圳</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中泰证券及其客户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2025年9月5日</w:t>
            </w:r>
          </w:p>
        </w:tc>
        <w:tc>
          <w:tcPr>
            <w:tcW w:w="1568" w:type="dxa"/>
            <w:vAlign w:val="center"/>
          </w:tcPr>
          <w:p>
            <w:pPr>
              <w:spacing w:line="360" w:lineRule="exact"/>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台湾国泰证券</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中欧基金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交银施德罗</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太平洋保险</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东吴证券自营</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中欧基金、交银施德罗</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太平洋保险、东吴证券自营</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10</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华宝基金、平安养老、申万菱信、招商基金、东方证券自营</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11</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华泰柏瑞</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11</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泰康资产、泰康基金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w:t>
            </w:r>
            <w:r>
              <w:rPr>
                <w:rFonts w:ascii="仿宋_GB2312" w:eastAsia="仿宋_GB2312" w:hAnsi="宋体"/>
                <w:sz w:val="28"/>
                <w:szCs w:val="28"/>
              </w:rPr>
              <w:t>16</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华夏久盈、国寿养老</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反路演</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2025年9月22日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新疆</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反路演参会投资者</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2025年9月22日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新疆</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中邮基金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2025年9月28日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华夏久盈</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lastRenderedPageBreak/>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lastRenderedPageBreak/>
              <w:t>否</w:t>
            </w:r>
          </w:p>
        </w:tc>
      </w:tr>
      <w:tr>
        <w:trPr>
          <w:jc w:val="center"/>
        </w:trPr>
        <w:tc>
          <w:tcPr>
            <w:tcW w:w="997" w:type="dxa"/>
            <w:tcBorders>
              <w:bottom w:val="single" w:sz="4" w:space="0" w:color="auto"/>
            </w:tcBorders>
            <w:shd w:val="clear" w:color="auto" w:fill="FFFFFF"/>
          </w:tcPr>
          <w:p>
            <w:pPr>
              <w:snapToGrid w:val="0"/>
              <w:spacing w:line="440" w:lineRule="exact"/>
              <w:ind w:firstLineChars="200" w:firstLine="562"/>
              <w:rPr>
                <w:rFonts w:ascii="宋体" w:hAnsi="宋体"/>
                <w:b/>
                <w:sz w:val="28"/>
                <w:szCs w:val="28"/>
              </w:rPr>
            </w:pPr>
          </w:p>
        </w:tc>
        <w:tc>
          <w:tcPr>
            <w:tcW w:w="14033" w:type="dxa"/>
            <w:gridSpan w:val="6"/>
            <w:tcBorders>
              <w:bottom w:val="single" w:sz="4" w:space="0" w:color="auto"/>
            </w:tcBorders>
            <w:shd w:val="clear" w:color="auto" w:fill="FFFFFF"/>
            <w:vAlign w:val="center"/>
          </w:tcPr>
          <w:p>
            <w:pPr>
              <w:snapToGrid w:val="0"/>
              <w:spacing w:line="440" w:lineRule="exact"/>
              <w:ind w:firstLineChars="200" w:firstLine="562"/>
              <w:rPr>
                <w:rFonts w:ascii="宋体" w:hAnsi="宋体"/>
                <w:b/>
                <w:sz w:val="28"/>
                <w:szCs w:val="28"/>
              </w:rPr>
            </w:pPr>
            <w:r>
              <w:rPr>
                <w:rFonts w:ascii="宋体" w:hAnsi="宋体" w:hint="eastAsia"/>
                <w:b/>
                <w:sz w:val="28"/>
                <w:szCs w:val="28"/>
              </w:rPr>
              <w:t>主要交流内容：</w:t>
            </w:r>
          </w:p>
          <w:p>
            <w:pPr>
              <w:snapToGrid w:val="0"/>
              <w:spacing w:line="440" w:lineRule="exact"/>
              <w:ind w:firstLineChars="200" w:firstLine="560"/>
              <w:rPr>
                <w:rFonts w:ascii="宋体" w:hAnsi="宋体"/>
                <w:bCs/>
                <w:sz w:val="28"/>
                <w:szCs w:val="28"/>
              </w:rPr>
            </w:pPr>
            <w:r>
              <w:rPr>
                <w:rFonts w:ascii="宋体" w:hAnsi="宋体" w:hint="eastAsia"/>
                <w:bCs/>
                <w:sz w:val="28"/>
                <w:szCs w:val="28"/>
              </w:rPr>
              <w:t>一、本集团的上半年商品煤产量，全年展望？</w:t>
            </w:r>
          </w:p>
          <w:p>
            <w:pPr>
              <w:snapToGrid w:val="0"/>
              <w:spacing w:line="440" w:lineRule="exact"/>
              <w:ind w:firstLineChars="200" w:firstLine="560"/>
              <w:rPr>
                <w:rFonts w:ascii="宋体" w:hAnsi="宋体"/>
                <w:bCs/>
                <w:sz w:val="28"/>
                <w:szCs w:val="28"/>
              </w:rPr>
            </w:pPr>
            <w:r>
              <w:rPr>
                <w:rFonts w:ascii="宋体" w:hAnsi="宋体" w:hint="eastAsia"/>
                <w:bCs/>
                <w:sz w:val="28"/>
                <w:szCs w:val="28"/>
              </w:rPr>
              <w:t>2025年上半年本集团商品煤产量7360万吨，同比增加452万吨或6.5%，实现“产量过半、任务过半”的目标。其中：</w:t>
            </w:r>
          </w:p>
          <w:p>
            <w:pPr>
              <w:snapToGrid w:val="0"/>
              <w:spacing w:line="440" w:lineRule="exact"/>
              <w:ind w:firstLineChars="200" w:firstLine="560"/>
              <w:rPr>
                <w:rFonts w:ascii="宋体" w:hAnsi="宋体"/>
                <w:bCs/>
                <w:sz w:val="28"/>
                <w:szCs w:val="28"/>
              </w:rPr>
            </w:pPr>
            <w:r>
              <w:rPr>
                <w:rFonts w:ascii="宋体" w:hAnsi="宋体" w:hint="eastAsia"/>
                <w:bCs/>
                <w:sz w:val="28"/>
                <w:szCs w:val="28"/>
              </w:rPr>
              <w:t>山东基地产量1838万吨，同比2024年1808万吨增加31万吨或1.7%；</w:t>
            </w:r>
          </w:p>
          <w:p>
            <w:pPr>
              <w:snapToGrid w:val="0"/>
              <w:spacing w:line="440" w:lineRule="exact"/>
              <w:ind w:firstLineChars="200" w:firstLine="560"/>
              <w:rPr>
                <w:rFonts w:ascii="宋体" w:hAnsi="宋体"/>
                <w:bCs/>
                <w:sz w:val="28"/>
                <w:szCs w:val="28"/>
              </w:rPr>
            </w:pPr>
            <w:r>
              <w:rPr>
                <w:rFonts w:ascii="宋体" w:hAnsi="宋体" w:hint="eastAsia"/>
                <w:bCs/>
                <w:sz w:val="28"/>
                <w:szCs w:val="28"/>
              </w:rPr>
              <w:t>陕蒙基地产量2355万吨，同比2024年2140万吨增加215万吨或10.0%；</w:t>
            </w:r>
          </w:p>
          <w:p>
            <w:pPr>
              <w:snapToGrid w:val="0"/>
              <w:spacing w:line="440" w:lineRule="exact"/>
              <w:ind w:firstLineChars="200" w:firstLine="560"/>
              <w:rPr>
                <w:rFonts w:ascii="宋体" w:hAnsi="宋体"/>
                <w:bCs/>
                <w:sz w:val="28"/>
                <w:szCs w:val="28"/>
              </w:rPr>
            </w:pPr>
            <w:r>
              <w:rPr>
                <w:rFonts w:ascii="宋体" w:hAnsi="宋体" w:hint="eastAsia"/>
                <w:bCs/>
                <w:sz w:val="28"/>
                <w:szCs w:val="28"/>
              </w:rPr>
              <w:t>新疆基地产量989万吨，同比2024年993万吨减少4万吨或0.4%；</w:t>
            </w:r>
          </w:p>
          <w:p>
            <w:pPr>
              <w:snapToGrid w:val="0"/>
              <w:spacing w:line="440" w:lineRule="exact"/>
              <w:ind w:firstLineChars="200" w:firstLine="560"/>
              <w:rPr>
                <w:rFonts w:ascii="宋体" w:hAnsi="宋体"/>
                <w:bCs/>
                <w:sz w:val="28"/>
                <w:szCs w:val="28"/>
              </w:rPr>
            </w:pPr>
            <w:r>
              <w:rPr>
                <w:rFonts w:ascii="宋体" w:hAnsi="宋体" w:hint="eastAsia"/>
                <w:bCs/>
                <w:sz w:val="28"/>
                <w:szCs w:val="28"/>
              </w:rPr>
              <w:t>澳洲基地产量2178万吨，同比2024年1967万吨增加211万吨或10.7%。</w:t>
            </w:r>
          </w:p>
          <w:p>
            <w:pPr>
              <w:snapToGrid w:val="0"/>
              <w:spacing w:line="440" w:lineRule="exact"/>
              <w:ind w:firstLineChars="200" w:firstLine="560"/>
              <w:rPr>
                <w:rFonts w:ascii="宋体" w:hAnsi="宋体"/>
                <w:bCs/>
                <w:sz w:val="28"/>
                <w:szCs w:val="28"/>
              </w:rPr>
            </w:pPr>
            <w:r>
              <w:rPr>
                <w:rFonts w:ascii="宋体" w:hAnsi="宋体" w:hint="eastAsia"/>
                <w:bCs/>
                <w:sz w:val="28"/>
                <w:szCs w:val="28"/>
              </w:rPr>
              <w:t>预计本集团2025年全年商品煤产量增加4000万吨以上，历史性突破1.8亿吨。</w:t>
            </w:r>
          </w:p>
          <w:p>
            <w:pPr>
              <w:snapToGrid w:val="0"/>
              <w:spacing w:line="440" w:lineRule="exact"/>
              <w:ind w:firstLineChars="200" w:firstLine="560"/>
              <w:rPr>
                <w:rFonts w:ascii="宋体" w:hAnsi="宋体"/>
                <w:bCs/>
                <w:sz w:val="28"/>
                <w:szCs w:val="28"/>
              </w:rPr>
            </w:pPr>
            <w:r>
              <w:rPr>
                <w:rFonts w:ascii="宋体" w:hAnsi="宋体" w:hint="eastAsia"/>
                <w:bCs/>
                <w:sz w:val="28"/>
                <w:szCs w:val="28"/>
              </w:rPr>
              <w:t>①随着新疆五彩湾四号露天矿和万福煤矿的逐步达产，将逐步贡献产能。</w:t>
            </w:r>
          </w:p>
          <w:p>
            <w:pPr>
              <w:snapToGrid w:val="0"/>
              <w:spacing w:line="440" w:lineRule="exact"/>
              <w:ind w:firstLineChars="200" w:firstLine="560"/>
              <w:rPr>
                <w:rFonts w:ascii="宋体" w:hAnsi="宋体"/>
                <w:bCs/>
                <w:sz w:val="28"/>
                <w:szCs w:val="28"/>
              </w:rPr>
            </w:pPr>
            <w:r>
              <w:rPr>
                <w:rFonts w:ascii="宋体" w:hAnsi="宋体" w:hint="eastAsia"/>
                <w:bCs/>
                <w:sz w:val="28"/>
                <w:szCs w:val="28"/>
              </w:rPr>
              <w:t>②2025年7月完成对西北矿业的收购交割，该交易属同一控制下企业合并，本集团可合并西北矿业全年商品煤产量约3000万吨。</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二、2025年上半年煤炭成本情况？管控目标是什么？</w:t>
            </w:r>
          </w:p>
          <w:p>
            <w:pPr>
              <w:snapToGrid w:val="0"/>
              <w:spacing w:line="440" w:lineRule="exact"/>
              <w:ind w:firstLineChars="200" w:firstLine="560"/>
              <w:rPr>
                <w:rFonts w:ascii="宋体" w:hAnsi="宋体"/>
                <w:bCs/>
                <w:sz w:val="28"/>
                <w:szCs w:val="28"/>
              </w:rPr>
            </w:pPr>
            <w:r>
              <w:rPr>
                <w:rFonts w:ascii="宋体" w:hAnsi="宋体" w:hint="eastAsia"/>
                <w:bCs/>
                <w:sz w:val="28"/>
                <w:szCs w:val="28"/>
              </w:rPr>
              <w:t>2025年上半年自产商品煤吨煤销售成本328元/吨，同比减少31元/吨或8.7%。</w:t>
            </w:r>
          </w:p>
          <w:p>
            <w:pPr>
              <w:snapToGrid w:val="0"/>
              <w:spacing w:line="440" w:lineRule="exact"/>
              <w:ind w:firstLineChars="200" w:firstLine="560"/>
              <w:rPr>
                <w:rFonts w:ascii="宋体" w:hAnsi="宋体"/>
                <w:bCs/>
                <w:sz w:val="28"/>
                <w:szCs w:val="28"/>
              </w:rPr>
            </w:pPr>
            <w:r>
              <w:rPr>
                <w:rFonts w:ascii="宋体" w:hAnsi="宋体" w:hint="eastAsia"/>
                <w:bCs/>
                <w:sz w:val="28"/>
                <w:szCs w:val="28"/>
              </w:rPr>
              <w:t>2025年，本集团力争实现吨煤销售成本同比降低3%，将采用以下措施：</w:t>
            </w:r>
          </w:p>
          <w:p>
            <w:pPr>
              <w:snapToGrid w:val="0"/>
              <w:spacing w:line="440" w:lineRule="exact"/>
              <w:ind w:firstLineChars="200" w:firstLine="560"/>
              <w:rPr>
                <w:rFonts w:ascii="宋体" w:hAnsi="宋体"/>
                <w:bCs/>
                <w:sz w:val="28"/>
                <w:szCs w:val="28"/>
              </w:rPr>
            </w:pPr>
            <w:r>
              <w:rPr>
                <w:rFonts w:ascii="宋体" w:hAnsi="宋体" w:hint="eastAsia"/>
                <w:bCs/>
                <w:sz w:val="28"/>
                <w:szCs w:val="28"/>
              </w:rPr>
              <w:t>一是严控生产成本。持续优化矿井生产接续、采掘工艺和劳动组织，加强材料费、水电费等重点费用管控，降</w:t>
            </w:r>
            <w:r>
              <w:rPr>
                <w:rFonts w:ascii="宋体" w:hAnsi="宋体" w:hint="eastAsia"/>
                <w:bCs/>
                <w:sz w:val="28"/>
                <w:szCs w:val="28"/>
              </w:rPr>
              <w:lastRenderedPageBreak/>
              <w:t>低产品单耗水平。</w:t>
            </w:r>
          </w:p>
          <w:p>
            <w:pPr>
              <w:snapToGrid w:val="0"/>
              <w:spacing w:line="440" w:lineRule="exact"/>
              <w:ind w:firstLineChars="200" w:firstLine="560"/>
              <w:rPr>
                <w:rFonts w:ascii="宋体" w:hAnsi="宋体"/>
                <w:bCs/>
                <w:sz w:val="28"/>
                <w:szCs w:val="28"/>
              </w:rPr>
            </w:pPr>
            <w:r>
              <w:rPr>
                <w:rFonts w:ascii="宋体" w:hAnsi="宋体" w:hint="eastAsia"/>
                <w:bCs/>
                <w:sz w:val="28"/>
                <w:szCs w:val="28"/>
              </w:rPr>
              <w:t>二是控制期间费用。刚性压减管理、销售、财务等费用，严禁预算外支出，降低非必要开支。聚焦人力资源“六定”管理，推进机构改革，压缩管理层级，优化人力资源配置。</w:t>
            </w:r>
          </w:p>
          <w:p>
            <w:pPr>
              <w:snapToGrid w:val="0"/>
              <w:spacing w:line="440" w:lineRule="exact"/>
              <w:ind w:firstLineChars="200" w:firstLine="560"/>
              <w:rPr>
                <w:rFonts w:ascii="宋体" w:hAnsi="宋体"/>
                <w:bCs/>
                <w:sz w:val="28"/>
                <w:szCs w:val="28"/>
              </w:rPr>
            </w:pPr>
            <w:r>
              <w:rPr>
                <w:rFonts w:ascii="宋体" w:hAnsi="宋体" w:hint="eastAsia"/>
                <w:bCs/>
                <w:sz w:val="28"/>
                <w:szCs w:val="28"/>
              </w:rPr>
              <w:t>三是盘活存量物资。加大清仓利库、修旧利废，强化存量设备、物资盘活，处置低效无效资产。。</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三、近期煤炭市场价格表现？</w:t>
            </w:r>
          </w:p>
          <w:p>
            <w:pPr>
              <w:snapToGrid w:val="0"/>
              <w:spacing w:line="440" w:lineRule="exact"/>
              <w:ind w:firstLineChars="200" w:firstLine="560"/>
              <w:rPr>
                <w:rFonts w:ascii="宋体" w:hAnsi="宋体"/>
                <w:bCs/>
                <w:sz w:val="28"/>
                <w:szCs w:val="28"/>
              </w:rPr>
            </w:pPr>
            <w:r>
              <w:rPr>
                <w:rFonts w:ascii="宋体" w:hAnsi="宋体" w:hint="eastAsia"/>
                <w:bCs/>
                <w:sz w:val="28"/>
                <w:szCs w:val="28"/>
              </w:rPr>
              <w:t>2025年上半年，国内主产区煤炭产能稳定释放，进口煤量保持高位，全社会煤炭消费回落，新能源发电占比提升抑制火电需求，电厂日耗偏低、社会库存高位运行，国内煤炭市场供需相对宽松，煤炭价格震荡下行。</w:t>
            </w:r>
          </w:p>
          <w:p>
            <w:pPr>
              <w:snapToGrid w:val="0"/>
              <w:spacing w:line="440" w:lineRule="exact"/>
              <w:ind w:firstLineChars="200" w:firstLine="560"/>
              <w:rPr>
                <w:rFonts w:ascii="宋体" w:hAnsi="宋体"/>
                <w:bCs/>
                <w:sz w:val="28"/>
                <w:szCs w:val="28"/>
              </w:rPr>
            </w:pPr>
            <w:r>
              <w:rPr>
                <w:rFonts w:ascii="宋体" w:hAnsi="宋体" w:hint="eastAsia"/>
                <w:bCs/>
                <w:sz w:val="28"/>
                <w:szCs w:val="28"/>
              </w:rPr>
              <w:t>6月底以来，随着国内高温扩散，电厂日耗增加，煤价筑底反弹。预计在政府“反内卷”、查超产的政策支持下，下半年煤炭市场供需关系有望边际改善，煤炭价格修复性回升。</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四、公司202</w:t>
            </w:r>
            <w:r>
              <w:rPr>
                <w:rFonts w:ascii="宋体" w:hAnsi="宋体"/>
                <w:bCs/>
                <w:sz w:val="28"/>
                <w:szCs w:val="28"/>
              </w:rPr>
              <w:t>5</w:t>
            </w:r>
            <w:r>
              <w:rPr>
                <w:rFonts w:ascii="宋体" w:hAnsi="宋体" w:hint="eastAsia"/>
                <w:bCs/>
                <w:sz w:val="28"/>
                <w:szCs w:val="28"/>
              </w:rPr>
              <w:t xml:space="preserve">年煤炭中长期合同？ </w:t>
            </w:r>
          </w:p>
          <w:p>
            <w:pPr>
              <w:snapToGrid w:val="0"/>
              <w:spacing w:line="440" w:lineRule="exact"/>
              <w:ind w:firstLineChars="200" w:firstLine="560"/>
              <w:rPr>
                <w:rFonts w:ascii="宋体" w:hAnsi="宋体"/>
                <w:bCs/>
                <w:sz w:val="28"/>
                <w:szCs w:val="28"/>
              </w:rPr>
            </w:pPr>
            <w:r>
              <w:rPr>
                <w:rFonts w:ascii="宋体" w:hAnsi="宋体" w:hint="eastAsia"/>
                <w:bCs/>
                <w:sz w:val="28"/>
                <w:szCs w:val="28"/>
              </w:rPr>
              <w:t>公司已按照相关政策规定签订202</w:t>
            </w:r>
            <w:r>
              <w:rPr>
                <w:rFonts w:ascii="宋体" w:hAnsi="宋体"/>
                <w:bCs/>
                <w:sz w:val="28"/>
                <w:szCs w:val="28"/>
              </w:rPr>
              <w:t>5</w:t>
            </w:r>
            <w:r>
              <w:rPr>
                <w:rFonts w:ascii="宋体" w:hAnsi="宋体" w:hint="eastAsia"/>
                <w:bCs/>
                <w:sz w:val="28"/>
                <w:szCs w:val="28"/>
              </w:rPr>
              <w:t>年煤炭中长期合同，较202</w:t>
            </w:r>
            <w:r>
              <w:rPr>
                <w:rFonts w:ascii="宋体" w:hAnsi="宋体"/>
                <w:bCs/>
                <w:sz w:val="28"/>
                <w:szCs w:val="28"/>
              </w:rPr>
              <w:t>4</w:t>
            </w:r>
            <w:r>
              <w:rPr>
                <w:rFonts w:ascii="宋体" w:hAnsi="宋体" w:hint="eastAsia"/>
                <w:bCs/>
                <w:sz w:val="28"/>
                <w:szCs w:val="28"/>
              </w:rPr>
              <w:t>年合同签订数量基本持平。</w:t>
            </w:r>
          </w:p>
          <w:p>
            <w:pPr>
              <w:snapToGrid w:val="0"/>
              <w:spacing w:line="440" w:lineRule="exact"/>
              <w:ind w:firstLineChars="200" w:firstLine="560"/>
              <w:rPr>
                <w:rFonts w:ascii="宋体" w:hAnsi="宋体"/>
                <w:bCs/>
                <w:sz w:val="28"/>
                <w:szCs w:val="28"/>
              </w:rPr>
            </w:pPr>
            <w:r>
              <w:rPr>
                <w:rFonts w:ascii="宋体" w:hAnsi="宋体" w:hint="eastAsia"/>
                <w:bCs/>
                <w:sz w:val="28"/>
                <w:szCs w:val="28"/>
              </w:rPr>
              <w:t>电煤中长期合同定价机制与202</w:t>
            </w:r>
            <w:r>
              <w:rPr>
                <w:rFonts w:ascii="宋体" w:hAnsi="宋体"/>
                <w:bCs/>
                <w:sz w:val="28"/>
                <w:szCs w:val="28"/>
              </w:rPr>
              <w:t>4</w:t>
            </w:r>
            <w:r>
              <w:rPr>
                <w:rFonts w:ascii="宋体" w:hAnsi="宋体" w:hint="eastAsia"/>
                <w:bCs/>
                <w:sz w:val="28"/>
                <w:szCs w:val="28"/>
              </w:rPr>
              <w:t>年相同，山东区域定价公式为基准价+浮动价，5500大卡基础价675元/吨。陕蒙区域价格延续执行区域限价，即5500大卡动力煤陕西不超过520元/吨，蒙西不超过460元/吨，山西不超过570元/吨。</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五、“双碳”战略背景下，公司如何看待煤炭发展前景？</w:t>
            </w:r>
          </w:p>
          <w:p>
            <w:pPr>
              <w:snapToGrid w:val="0"/>
              <w:spacing w:line="440" w:lineRule="exact"/>
              <w:ind w:firstLineChars="200" w:firstLine="560"/>
              <w:rPr>
                <w:rFonts w:ascii="宋体" w:hAnsi="宋体"/>
                <w:bCs/>
                <w:sz w:val="28"/>
                <w:szCs w:val="28"/>
              </w:rPr>
            </w:pPr>
            <w:r>
              <w:rPr>
                <w:rFonts w:ascii="宋体" w:hAnsi="宋体" w:hint="eastAsia"/>
                <w:bCs/>
                <w:sz w:val="28"/>
                <w:szCs w:val="28"/>
              </w:rPr>
              <w:lastRenderedPageBreak/>
              <w:t>“双碳”战略背景下，能源结构加速变革调整。近年来，可再生能源投资发展提速，但基于中国“富煤贫油少气”的能源禀赋特征，煤炭仍然是经济、安全、可靠的基础保障能源，中短期内不会被可再生能源大规模取代。</w:t>
            </w:r>
          </w:p>
          <w:p>
            <w:pPr>
              <w:snapToGrid w:val="0"/>
              <w:spacing w:line="440" w:lineRule="exact"/>
              <w:ind w:firstLineChars="200" w:firstLine="560"/>
              <w:rPr>
                <w:rFonts w:ascii="宋体" w:hAnsi="宋体"/>
                <w:bCs/>
                <w:sz w:val="28"/>
                <w:szCs w:val="28"/>
              </w:rPr>
            </w:pPr>
            <w:r>
              <w:rPr>
                <w:rFonts w:ascii="宋体" w:hAnsi="宋体" w:hint="eastAsia"/>
                <w:bCs/>
                <w:sz w:val="28"/>
                <w:szCs w:val="28"/>
              </w:rPr>
              <w:t>“双碳”战略是一场广泛而深刻的变革,中国正在加快新型能源体系建设。兖矿能源将顺应能源变革趋势，积极响应、统筹谋划。一是有序调整传统主导产业。加快煤炭产业转型升级步伐，大力推进智能矿山建设，向绿色智能方向发展；加强煤炭清洁高效利用，延伸发展高端精细煤化工产业，推动高碳能源低碳化。二是加快发展新兴产业。在发挥煤炭兜底保障作用的基础上，积极推动高端装备制造、智慧物流产业实施绿色低碳发展路径，逐步提升绿电产品，锻造新利润增长产业。三是推动传统能源和新能源优化组合。构建多能互补耦合发展格局，稳步布局新能源产业，由“一煤独大”向“多能互补”转变，促进传统能源与新能源协同发展。</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六、兖煤澳洲煤炭主要销往哪些国家和地区？</w:t>
            </w:r>
          </w:p>
          <w:p>
            <w:pPr>
              <w:snapToGrid w:val="0"/>
              <w:spacing w:line="440" w:lineRule="exact"/>
              <w:ind w:firstLineChars="200" w:firstLine="560"/>
              <w:rPr>
                <w:rFonts w:ascii="宋体" w:hAnsi="宋体"/>
                <w:bCs/>
                <w:sz w:val="28"/>
                <w:szCs w:val="28"/>
              </w:rPr>
            </w:pPr>
            <w:r>
              <w:rPr>
                <w:rFonts w:ascii="宋体" w:hAnsi="宋体" w:hint="eastAsia"/>
                <w:bCs/>
                <w:sz w:val="28"/>
                <w:szCs w:val="28"/>
              </w:rPr>
              <w:t>兖煤澳洲的煤炭主要销往中国、日本、韩国、泰国等市场。</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七、兖煤澳洲销售合同定价机制？</w:t>
            </w:r>
          </w:p>
          <w:p>
            <w:pPr>
              <w:snapToGrid w:val="0"/>
              <w:spacing w:line="440" w:lineRule="exact"/>
              <w:ind w:firstLineChars="200" w:firstLine="560"/>
              <w:rPr>
                <w:rFonts w:ascii="宋体" w:hAnsi="宋体"/>
                <w:bCs/>
                <w:sz w:val="28"/>
                <w:szCs w:val="28"/>
              </w:rPr>
            </w:pPr>
            <w:r>
              <w:rPr>
                <w:rFonts w:ascii="宋体" w:hAnsi="宋体" w:hint="eastAsia"/>
                <w:bCs/>
                <w:sz w:val="28"/>
                <w:szCs w:val="28"/>
              </w:rPr>
              <w:t>出口动力煤一般按指数价格或年度固定价格定价。一般而言，较低灰分产品根据纽卡斯尔指数定价，而较高灰分产品则根据API5动力煤指数定价。年度固定价格合约主要根据日本电厂基准价格定价，该参考价格为澳大利亚主要供货商与日本电力公司的合约价格。其余销售按交易当日相对于市场的现货价格定价，大多为固定价格。在此期间，延迟的合约交付会导致实际价格较基准现货价格出现“滞后效应”。</w:t>
            </w:r>
          </w:p>
          <w:p>
            <w:pPr>
              <w:snapToGrid w:val="0"/>
              <w:spacing w:line="440" w:lineRule="exact"/>
              <w:ind w:firstLineChars="200" w:firstLine="560"/>
              <w:rPr>
                <w:rFonts w:ascii="宋体" w:hAnsi="宋体"/>
                <w:bCs/>
                <w:sz w:val="28"/>
                <w:szCs w:val="28"/>
              </w:rPr>
            </w:pPr>
            <w:r>
              <w:rPr>
                <w:rFonts w:ascii="宋体" w:hAnsi="宋体" w:hint="eastAsia"/>
                <w:bCs/>
                <w:sz w:val="28"/>
                <w:szCs w:val="28"/>
              </w:rPr>
              <w:t>出口冶金煤按基准价或现货价格基准定价。大部分定期合约按照澳大利亚主要供货商与日本钢铁厂按季度价</w:t>
            </w:r>
            <w:r>
              <w:rPr>
                <w:rFonts w:ascii="宋体" w:hAnsi="宋体" w:hint="eastAsia"/>
                <w:bCs/>
                <w:sz w:val="28"/>
                <w:szCs w:val="28"/>
              </w:rPr>
              <w:lastRenderedPageBreak/>
              <w:t>格基准协商的定价机制定价。现货销售按当日的市场价（普氏指数）定价。</w:t>
            </w:r>
          </w:p>
          <w:p>
            <w:pPr>
              <w:snapToGrid w:val="0"/>
              <w:spacing w:line="44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八、公司3亿吨产量的实现节奏和路径。</w:t>
            </w:r>
          </w:p>
          <w:p>
            <w:pPr>
              <w:spacing w:line="520" w:lineRule="exact"/>
              <w:ind w:firstLineChars="200" w:firstLine="560"/>
              <w:rPr>
                <w:rFonts w:ascii="宋体" w:hAnsi="宋体"/>
                <w:bCs/>
                <w:sz w:val="28"/>
                <w:szCs w:val="28"/>
              </w:rPr>
            </w:pPr>
            <w:r>
              <w:rPr>
                <w:rFonts w:ascii="宋体" w:hAnsi="宋体" w:hint="eastAsia"/>
                <w:bCs/>
                <w:sz w:val="28"/>
                <w:szCs w:val="28"/>
              </w:rPr>
              <w:t>公司2021年12月制定的《发展战略纲要》提出，力争5-10年原煤年产量达到3亿吨/年。目前，本集团在产、在建及规划矿井合计产能达3.2亿吨/年，2030年前将如期实现“原煤3亿吨”目标。包括：</w:t>
            </w:r>
          </w:p>
          <w:p>
            <w:pPr>
              <w:spacing w:line="520" w:lineRule="exact"/>
              <w:ind w:firstLineChars="200" w:firstLine="560"/>
              <w:rPr>
                <w:rFonts w:ascii="宋体" w:hAnsi="宋体"/>
                <w:bCs/>
                <w:sz w:val="28"/>
                <w:szCs w:val="28"/>
              </w:rPr>
            </w:pPr>
            <w:r>
              <w:rPr>
                <w:rFonts w:ascii="宋体" w:hAnsi="宋体" w:hint="eastAsia"/>
                <w:bCs/>
                <w:sz w:val="28"/>
                <w:szCs w:val="28"/>
              </w:rPr>
              <w:t>1.2025年商品煤产量将历史性突破1.8亿吨，对应原煤产量约2.2亿吨。</w:t>
            </w:r>
          </w:p>
          <w:p>
            <w:pPr>
              <w:spacing w:line="520" w:lineRule="exact"/>
              <w:ind w:firstLineChars="200" w:firstLine="560"/>
              <w:rPr>
                <w:rFonts w:ascii="宋体" w:hAnsi="宋体"/>
                <w:bCs/>
                <w:sz w:val="28"/>
                <w:szCs w:val="28"/>
              </w:rPr>
            </w:pPr>
            <w:r>
              <w:rPr>
                <w:rFonts w:ascii="宋体" w:hAnsi="宋体" w:hint="eastAsia"/>
                <w:bCs/>
                <w:sz w:val="28"/>
                <w:szCs w:val="28"/>
              </w:rPr>
              <w:t>2.2026年至2030年，煤炭产能增量总计约7000万吨，主要是：</w:t>
            </w:r>
          </w:p>
          <w:p>
            <w:pPr>
              <w:spacing w:line="520" w:lineRule="exact"/>
              <w:ind w:firstLineChars="200" w:firstLine="560"/>
              <w:rPr>
                <w:rFonts w:ascii="宋体" w:hAnsi="宋体"/>
                <w:bCs/>
                <w:sz w:val="28"/>
                <w:szCs w:val="28"/>
              </w:rPr>
            </w:pPr>
            <w:r>
              <w:rPr>
                <w:rFonts w:ascii="宋体" w:hAnsi="宋体" w:hint="eastAsia"/>
                <w:bCs/>
                <w:sz w:val="28"/>
                <w:szCs w:val="28"/>
              </w:rPr>
              <w:t>（1）陕蒙区域新增产能3500万吨/年。油房壕矿（500万吨/年）、霍林河一号矿（700万吨/年）、刘三圪旦矿（1000万吨/年）、杨家坪矿（500万吨/年）及嘎鲁图矿（800万吨/年），力争在未来五年陆续竣工。</w:t>
            </w:r>
          </w:p>
          <w:p>
            <w:pPr>
              <w:spacing w:line="520" w:lineRule="exact"/>
              <w:ind w:firstLineChars="200" w:firstLine="560"/>
              <w:rPr>
                <w:rFonts w:ascii="宋体" w:hAnsi="宋体"/>
                <w:bCs/>
                <w:sz w:val="28"/>
                <w:szCs w:val="28"/>
              </w:rPr>
            </w:pPr>
            <w:r>
              <w:rPr>
                <w:rFonts w:ascii="宋体" w:hAnsi="宋体" w:hint="eastAsia"/>
                <w:bCs/>
                <w:sz w:val="28"/>
                <w:szCs w:val="28"/>
              </w:rPr>
              <w:t>（2）新疆区域新增产能1700万吨/年。五彩湾四号露天矿一期项目2026年增加产量400万吨；二期项目产量将新增1300万吨（从1000万吨/年提升至2300万吨/年）。</w:t>
            </w:r>
          </w:p>
          <w:p>
            <w:pPr>
              <w:spacing w:line="520" w:lineRule="exact"/>
              <w:ind w:firstLineChars="200" w:firstLine="560"/>
              <w:rPr>
                <w:rFonts w:ascii="宋体" w:hAnsi="宋体"/>
                <w:bCs/>
                <w:sz w:val="28"/>
                <w:szCs w:val="28"/>
              </w:rPr>
            </w:pPr>
            <w:r>
              <w:rPr>
                <w:rFonts w:ascii="宋体" w:hAnsi="宋体" w:hint="eastAsia"/>
                <w:bCs/>
                <w:sz w:val="28"/>
                <w:szCs w:val="28"/>
              </w:rPr>
              <w:t>（3）甘肃区域新增产能1600万吨/年。刘园子扩产90万吨/年，马福川（800万吨/年）、毛家川（700万吨/年）两座煤矿建成后新增产能1500万吨/年。</w:t>
            </w:r>
          </w:p>
          <w:p>
            <w:pPr>
              <w:spacing w:line="520" w:lineRule="exact"/>
              <w:ind w:firstLineChars="200" w:firstLine="560"/>
              <w:rPr>
                <w:rFonts w:ascii="宋体" w:hAnsi="宋体"/>
                <w:bCs/>
                <w:sz w:val="28"/>
                <w:szCs w:val="28"/>
              </w:rPr>
            </w:pPr>
            <w:r>
              <w:rPr>
                <w:rFonts w:ascii="宋体" w:hAnsi="宋体" w:hint="eastAsia"/>
                <w:bCs/>
                <w:sz w:val="28"/>
                <w:szCs w:val="28"/>
              </w:rPr>
              <w:t>此外，公司将持续关注境内外市场优质资产的并购机遇，寻找增产提效的外部机会。</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九、近日政府公布的“反内卷”、煤矿生产情况核查的相关措施预计对公司及行业有什么影响？</w:t>
            </w:r>
          </w:p>
          <w:p>
            <w:pPr>
              <w:spacing w:line="520" w:lineRule="exact"/>
              <w:ind w:firstLineChars="200" w:firstLine="560"/>
              <w:rPr>
                <w:rFonts w:ascii="宋体" w:hAnsi="宋体"/>
                <w:bCs/>
                <w:sz w:val="28"/>
                <w:szCs w:val="28"/>
              </w:rPr>
            </w:pPr>
            <w:r>
              <w:rPr>
                <w:rFonts w:ascii="宋体" w:hAnsi="宋体" w:hint="eastAsia"/>
                <w:bCs/>
                <w:sz w:val="28"/>
                <w:szCs w:val="28"/>
              </w:rPr>
              <w:lastRenderedPageBreak/>
              <w:t>2025年7月10日，国家能源局发布《关于组织开展煤矿生产情况核查 促进煤炭供应平稳有序的通知》（国能综通煤炭〔2025〕108号），通知要求对山西、内蒙古、安徽、河南、贵州、陕西、宁夏、新疆等8个省区组织开展煤矿生产情况核查。</w:t>
            </w:r>
          </w:p>
          <w:p>
            <w:pPr>
              <w:spacing w:line="520" w:lineRule="exact"/>
              <w:ind w:firstLineChars="200" w:firstLine="560"/>
              <w:rPr>
                <w:rFonts w:ascii="宋体" w:hAnsi="宋体"/>
                <w:bCs/>
                <w:sz w:val="28"/>
                <w:szCs w:val="28"/>
              </w:rPr>
            </w:pPr>
            <w:r>
              <w:rPr>
                <w:rFonts w:ascii="宋体" w:hAnsi="宋体" w:hint="eastAsia"/>
                <w:bCs/>
                <w:sz w:val="28"/>
                <w:szCs w:val="28"/>
              </w:rPr>
              <w:t>（一）核查重点</w:t>
            </w:r>
          </w:p>
          <w:p>
            <w:pPr>
              <w:spacing w:line="520" w:lineRule="exact"/>
              <w:ind w:firstLineChars="200" w:firstLine="560"/>
              <w:rPr>
                <w:rFonts w:ascii="宋体" w:hAnsi="宋体"/>
                <w:bCs/>
                <w:sz w:val="28"/>
                <w:szCs w:val="28"/>
              </w:rPr>
            </w:pPr>
            <w:r>
              <w:rPr>
                <w:rFonts w:ascii="宋体" w:hAnsi="宋体" w:hint="eastAsia"/>
                <w:bCs/>
                <w:sz w:val="28"/>
                <w:szCs w:val="28"/>
              </w:rPr>
              <w:t>一是2024年全年、2025年1-6月的单月产量是否超过产能红线（年度产量不能超过公告产能，月度产量不能超过公告产能的10%）；二是企业集团有没有下达超产能指标；三是生产计划是否均衡合理。</w:t>
            </w:r>
          </w:p>
          <w:p>
            <w:pPr>
              <w:spacing w:line="520" w:lineRule="exact"/>
              <w:ind w:firstLineChars="200" w:firstLine="560"/>
              <w:rPr>
                <w:rFonts w:ascii="宋体" w:hAnsi="宋体"/>
                <w:bCs/>
                <w:sz w:val="28"/>
                <w:szCs w:val="28"/>
              </w:rPr>
            </w:pPr>
            <w:r>
              <w:rPr>
                <w:rFonts w:ascii="宋体" w:hAnsi="宋体" w:hint="eastAsia"/>
                <w:bCs/>
                <w:sz w:val="28"/>
                <w:szCs w:val="28"/>
              </w:rPr>
              <w:t>（二）整改措施</w:t>
            </w:r>
          </w:p>
          <w:p>
            <w:pPr>
              <w:spacing w:line="520" w:lineRule="exact"/>
              <w:ind w:firstLineChars="200" w:firstLine="560"/>
              <w:rPr>
                <w:rFonts w:ascii="宋体" w:hAnsi="宋体"/>
                <w:bCs/>
                <w:sz w:val="28"/>
                <w:szCs w:val="28"/>
              </w:rPr>
            </w:pPr>
            <w:r>
              <w:rPr>
                <w:rFonts w:ascii="宋体" w:hAnsi="宋体" w:hint="eastAsia"/>
                <w:bCs/>
                <w:sz w:val="28"/>
                <w:szCs w:val="28"/>
              </w:rPr>
              <w:t>《通知》要求各省进行核查并对超产行为进行处理。2024年超产但2025年及时纠正的煤矿，要作出检讨并书面承诺依法依规生产；2025年上半年单月原煤产量超规定的煤矿责令停产整改。各省需将检查、整改情况及加强产能管理的工作措施形成专题报告，于8月15日前报送国家能源局。后续国家能源局将适时抽查核查情况。</w:t>
            </w:r>
          </w:p>
          <w:p>
            <w:pPr>
              <w:spacing w:line="520" w:lineRule="exact"/>
              <w:ind w:firstLineChars="200" w:firstLine="560"/>
              <w:rPr>
                <w:rFonts w:ascii="宋体" w:hAnsi="宋体"/>
                <w:bCs/>
                <w:sz w:val="28"/>
                <w:szCs w:val="28"/>
              </w:rPr>
            </w:pPr>
            <w:r>
              <w:rPr>
                <w:rFonts w:ascii="宋体" w:hAnsi="宋体" w:hint="eastAsia"/>
                <w:bCs/>
                <w:sz w:val="28"/>
                <w:szCs w:val="28"/>
              </w:rPr>
              <w:t>（三）超能力生产核查对兖矿能源没有影响</w:t>
            </w:r>
          </w:p>
          <w:p>
            <w:pPr>
              <w:spacing w:line="520" w:lineRule="exact"/>
              <w:ind w:firstLineChars="200" w:firstLine="560"/>
              <w:rPr>
                <w:rFonts w:ascii="宋体" w:hAnsi="宋体"/>
                <w:bCs/>
                <w:sz w:val="28"/>
                <w:szCs w:val="28"/>
              </w:rPr>
            </w:pPr>
            <w:r>
              <w:rPr>
                <w:rFonts w:ascii="宋体" w:hAnsi="宋体" w:hint="eastAsia"/>
                <w:bCs/>
                <w:sz w:val="28"/>
                <w:szCs w:val="28"/>
              </w:rPr>
              <w:t>兖矿能源下属煤矿一直坚持依法依规组织生产，各矿井的核定能力及产量数据均进行全面披露，没有超过核定能力10%进行生产的情况。本次核查工作不会对本集团煤炭生产造成影响。</w:t>
            </w:r>
          </w:p>
          <w:p>
            <w:pPr>
              <w:spacing w:line="520" w:lineRule="exact"/>
              <w:ind w:firstLineChars="200" w:firstLine="560"/>
              <w:rPr>
                <w:rFonts w:ascii="宋体" w:hAnsi="宋体"/>
                <w:bCs/>
                <w:sz w:val="28"/>
                <w:szCs w:val="28"/>
              </w:rPr>
            </w:pPr>
            <w:r>
              <w:rPr>
                <w:rFonts w:ascii="宋体" w:hAnsi="宋体" w:hint="eastAsia"/>
                <w:bCs/>
                <w:sz w:val="28"/>
                <w:szCs w:val="28"/>
              </w:rPr>
              <w:t>（四）超能力生产核查有利于煤炭行业规范有序竞争</w:t>
            </w:r>
          </w:p>
          <w:p>
            <w:pPr>
              <w:spacing w:line="520" w:lineRule="exact"/>
              <w:ind w:firstLineChars="200" w:firstLine="560"/>
              <w:rPr>
                <w:rFonts w:ascii="宋体" w:hAnsi="宋体"/>
                <w:bCs/>
                <w:sz w:val="28"/>
                <w:szCs w:val="28"/>
              </w:rPr>
            </w:pPr>
            <w:r>
              <w:rPr>
                <w:rFonts w:ascii="宋体" w:hAnsi="宋体" w:hint="eastAsia"/>
                <w:bCs/>
                <w:sz w:val="28"/>
                <w:szCs w:val="28"/>
              </w:rPr>
              <w:t>2025年以来，“反内卷”政策信号密集释放。《通知》也被视为“反内卷”政策在煤炭行业的体现。本次核查</w:t>
            </w:r>
            <w:r>
              <w:rPr>
                <w:rFonts w:ascii="宋体" w:hAnsi="宋体" w:hint="eastAsia"/>
                <w:bCs/>
                <w:sz w:val="28"/>
                <w:szCs w:val="28"/>
              </w:rPr>
              <w:lastRenderedPageBreak/>
              <w:t xml:space="preserve">是近年来首次由国家主管机关发起的核查。目前尚未公布核查情况，但是必定有助于规范煤炭行业竞争秩序，保障煤炭供应平稳有序，推动行业高质量健康发展。 </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十、收购西北矿业的业绩承诺？</w:t>
            </w:r>
          </w:p>
          <w:p>
            <w:pPr>
              <w:spacing w:line="520" w:lineRule="exact"/>
              <w:ind w:firstLineChars="200" w:firstLine="560"/>
              <w:rPr>
                <w:rFonts w:ascii="宋体" w:hAnsi="宋体"/>
                <w:bCs/>
                <w:sz w:val="28"/>
                <w:szCs w:val="28"/>
              </w:rPr>
            </w:pPr>
            <w:r>
              <w:rPr>
                <w:rFonts w:ascii="宋体" w:hAnsi="宋体" w:hint="eastAsia"/>
                <w:bCs/>
                <w:sz w:val="28"/>
                <w:szCs w:val="28"/>
              </w:rPr>
              <w:t>为最大程度保护上市公司及股东利益，公司收购山东能源集团西北矿业有限公司（“西北矿业”）股权的交易设置了业绩承诺条款，西北矿业原股东方承诺西北矿业2025-2027三年累计扣非归母净利润不低于71亿元，承诺期满后进行专项审计及评估，若实现净利润与业绩承诺有差距，或承诺期末评估值与本次交易评估值有差距，原股东方按照对应的差额孰高者乘以上市公司收购西北矿业的股权比例予以现金补足。</w:t>
            </w:r>
          </w:p>
          <w:p>
            <w:pPr>
              <w:spacing w:line="520" w:lineRule="exact"/>
              <w:ind w:firstLineChars="200" w:firstLine="560"/>
              <w:rPr>
                <w:rFonts w:ascii="宋体" w:hAnsi="宋体"/>
                <w:bCs/>
                <w:sz w:val="28"/>
                <w:szCs w:val="28"/>
              </w:rPr>
            </w:pPr>
            <w:r>
              <w:rPr>
                <w:rFonts w:ascii="宋体" w:hAnsi="宋体" w:hint="eastAsia"/>
                <w:bCs/>
                <w:sz w:val="28"/>
                <w:szCs w:val="28"/>
              </w:rPr>
              <w:t>上述机制既锁定中短期利润保障，又以资产重估机制防范资产减值风险，充分体现兖矿能源对投资者负责的态度，同时彰显标的资产质量与发展信心。</w:t>
            </w:r>
          </w:p>
          <w:p>
            <w:pPr>
              <w:spacing w:line="520" w:lineRule="exact"/>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十一、公司对化工板块的发展规划？</w:t>
            </w:r>
          </w:p>
          <w:p>
            <w:pPr>
              <w:spacing w:line="520" w:lineRule="exact"/>
              <w:ind w:firstLineChars="200" w:firstLine="560"/>
              <w:rPr>
                <w:rFonts w:ascii="宋体" w:hAnsi="宋体"/>
                <w:bCs/>
                <w:sz w:val="28"/>
                <w:szCs w:val="28"/>
              </w:rPr>
            </w:pPr>
            <w:r>
              <w:rPr>
                <w:rFonts w:ascii="宋体" w:hAnsi="宋体" w:hint="eastAsia"/>
                <w:bCs/>
                <w:sz w:val="28"/>
                <w:szCs w:val="28"/>
              </w:rPr>
              <w:t>公司对高端化工新材料产业的发展规划：一是加快延链增值。强化延链、补链和强链，拓展“一头多线”柔性生产，打造高技术、高附加值产品。二是绿色低碳转型。发挥煤化工在固碳、减碳方面的优势，加快煤炭转化关键核心技术攻关，发展高碳含量的煤基新材料；加快推动煤炭向燃料和原料并重发展。三是战略布局新疆。在做优做</w:t>
            </w:r>
            <w:r>
              <w:rPr>
                <w:rFonts w:ascii="宋体" w:hAnsi="宋体" w:hint="eastAsia"/>
                <w:bCs/>
                <w:sz w:val="28"/>
                <w:szCs w:val="28"/>
              </w:rPr>
              <w:lastRenderedPageBreak/>
              <w:t>强鲁南化工、未来能源、荣信化工、榆林能化等4个化工园区的基础上，战略布局新疆区域，建设大煤化基地，发挥煤炭成本低、品种优、易开采等优势，推动煤炭深加工和高效利用。</w:t>
            </w:r>
          </w:p>
          <w:p>
            <w:pPr>
              <w:spacing w:line="520" w:lineRule="exact"/>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十二、公司负债率偏高是什么原因？</w:t>
            </w:r>
          </w:p>
          <w:p>
            <w:pPr>
              <w:spacing w:line="520" w:lineRule="exact"/>
              <w:ind w:firstLineChars="200" w:firstLine="560"/>
              <w:rPr>
                <w:rFonts w:ascii="宋体" w:hAnsi="宋体"/>
                <w:sz w:val="28"/>
                <w:szCs w:val="28"/>
              </w:rPr>
            </w:pPr>
            <w:r>
              <w:rPr>
                <w:rFonts w:ascii="宋体" w:hAnsi="宋体" w:hint="eastAsia"/>
                <w:sz w:val="28"/>
                <w:szCs w:val="28"/>
              </w:rPr>
              <w:t>截至2025年6月30日，本集团资产总额3757亿元，负债总额2392亿元，公司资产负债率63.68%，比年初62.90%增加0.78个百分点。</w:t>
            </w:r>
          </w:p>
          <w:p>
            <w:pPr>
              <w:spacing w:line="520" w:lineRule="exact"/>
              <w:ind w:firstLineChars="200" w:firstLine="560"/>
              <w:rPr>
                <w:rFonts w:ascii="宋体" w:hAnsi="宋体"/>
                <w:sz w:val="28"/>
                <w:szCs w:val="28"/>
              </w:rPr>
            </w:pPr>
            <w:r>
              <w:rPr>
                <w:rFonts w:ascii="宋体" w:hAnsi="宋体" w:hint="eastAsia"/>
                <w:sz w:val="28"/>
                <w:szCs w:val="28"/>
              </w:rPr>
              <w:t>公司双管双控负债规模和资产负债率，在满足生产经营、现金分红、投资并购支出情况下，全力降杠杆、减负债。</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十三、曹四夭钼矿基本情况。</w:t>
            </w:r>
          </w:p>
          <w:p>
            <w:pPr>
              <w:spacing w:line="520" w:lineRule="exact"/>
              <w:ind w:firstLineChars="200" w:firstLine="560"/>
              <w:rPr>
                <w:rFonts w:ascii="宋体" w:hAnsi="宋体"/>
                <w:sz w:val="28"/>
                <w:szCs w:val="28"/>
              </w:rPr>
            </w:pPr>
            <w:r>
              <w:rPr>
                <w:rFonts w:ascii="宋体" w:hAnsi="宋体" w:hint="eastAsia"/>
                <w:sz w:val="28"/>
                <w:szCs w:val="28"/>
              </w:rPr>
              <w:t>曹四夭钼矿是本集团控股子公司内蒙古矿业的矿产资源，根据长沙有色冶金设计研究院有限公司编制的可行性报告，该矿拥有钼矿石资源量10.4亿吨，金属量108.9万吨，钼精矿品位47％。具备建设原矿1650万吨/年，钼精矿产量3.52万吨/年的技术条件。</w:t>
            </w:r>
          </w:p>
          <w:p>
            <w:pPr>
              <w:spacing w:line="520" w:lineRule="exact"/>
              <w:ind w:firstLineChars="200" w:firstLine="560"/>
              <w:rPr>
                <w:rFonts w:ascii="宋体" w:hAnsi="宋体"/>
                <w:sz w:val="28"/>
                <w:szCs w:val="28"/>
              </w:rPr>
            </w:pPr>
            <w:r>
              <w:rPr>
                <w:rFonts w:ascii="宋体" w:hAnsi="宋体" w:hint="eastAsia"/>
                <w:sz w:val="28"/>
                <w:szCs w:val="28"/>
              </w:rPr>
              <w:t>目前正在办理矿井开发的审批手续，力争2026年上半年具备开工建设条件。</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lastRenderedPageBreak/>
              <w:t>十四、公司将采取哪些措施提升市值？</w:t>
            </w:r>
          </w:p>
          <w:p>
            <w:pPr>
              <w:spacing w:line="520" w:lineRule="exact"/>
              <w:ind w:firstLineChars="200" w:firstLine="560"/>
              <w:rPr>
                <w:rFonts w:ascii="宋体" w:hAnsi="宋体"/>
                <w:sz w:val="28"/>
                <w:szCs w:val="28"/>
              </w:rPr>
            </w:pPr>
            <w:r>
              <w:rPr>
                <w:rFonts w:ascii="宋体" w:hAnsi="宋体" w:hint="eastAsia"/>
                <w:sz w:val="28"/>
                <w:szCs w:val="28"/>
              </w:rPr>
              <w:t>公司积极响应市值管理监管要求，制定公司市值管理制度，建立兖矿特色“135”市值管理机制，明确以聚焦高质量发展为“一条主线”；强化规范治理、高效沟通、价值共享为“三个支撑”；做实聚焦主业提质增效、资本运作优化配置、擦亮品牌提升形象、境外协同优势互补、市值工具合理运用“五大保障”。</w:t>
            </w:r>
          </w:p>
          <w:p>
            <w:pPr>
              <w:spacing w:line="520" w:lineRule="exact"/>
              <w:ind w:firstLineChars="200" w:firstLine="560"/>
              <w:rPr>
                <w:rFonts w:ascii="宋体" w:hAnsi="宋体"/>
                <w:sz w:val="28"/>
                <w:szCs w:val="28"/>
              </w:rPr>
            </w:pPr>
            <w:r>
              <w:rPr>
                <w:rFonts w:ascii="宋体" w:hAnsi="宋体" w:hint="eastAsia"/>
                <w:sz w:val="28"/>
                <w:szCs w:val="28"/>
              </w:rPr>
              <w:t>为维护投资者利益、提振资本市场信心，今年以来公司采取多项有力措施支持公司股价。一是控股股东支持上市公司高质量发展，自愿承诺12个月内不主动减持、择机增持兖矿能源股份；二是增加现金分红频次，进行中期现金分红，与股东共享价值；三是回购部分A股、H股股份。</w:t>
            </w:r>
          </w:p>
          <w:p>
            <w:pPr>
              <w:spacing w:line="520" w:lineRule="exact"/>
              <w:rPr>
                <w:rFonts w:ascii="宋体" w:hAnsi="宋体"/>
                <w:sz w:val="28"/>
                <w:szCs w:val="28"/>
              </w:rPr>
            </w:pPr>
            <w:r>
              <w:rPr>
                <w:rFonts w:ascii="宋体" w:hAnsi="宋体" w:hint="eastAsia"/>
                <w:sz w:val="28"/>
                <w:szCs w:val="28"/>
              </w:rPr>
              <w:t>市值表现及股东回报最终还是取决于公司经营发展成果，兖矿能源将稳步落实战略规划，确保2030年煤炭产量3亿吨，持续提升规模当量和盈利水平，以优异成绩为股东及利益相关方创造更高价值、更多回报。</w:t>
            </w:r>
          </w:p>
          <w:p>
            <w:pPr>
              <w:spacing w:line="520" w:lineRule="exact"/>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十五、2025年之后的分红派息政策如何制定？现金流能否满足资本开支和分红的需求？</w:t>
            </w:r>
          </w:p>
          <w:p>
            <w:pPr>
              <w:spacing w:line="520" w:lineRule="exact"/>
              <w:ind w:firstLineChars="200" w:firstLine="560"/>
              <w:rPr>
                <w:rFonts w:ascii="宋体" w:hAnsi="宋体"/>
                <w:sz w:val="28"/>
                <w:szCs w:val="28"/>
              </w:rPr>
            </w:pPr>
            <w:r>
              <w:rPr>
                <w:rFonts w:ascii="宋体" w:hAnsi="宋体" w:hint="eastAsia"/>
                <w:sz w:val="28"/>
                <w:szCs w:val="28"/>
              </w:rPr>
              <w:t>公司2023-2025年度分红政策为：每年度现金分红金额占当年扣除法定储备后净利润约60%，且不低于0.5元/股。兖矿能源始终践行“股东至上、价值共享”的理念，在央国企中率先坚持高比例现金分红，真诚回报投资者。公司严格执行分红政策，近五年分红比例均维持60%或以上，位居行业前列；上市以来，已累计实施现金分红850亿元。</w:t>
            </w:r>
          </w:p>
          <w:p>
            <w:pPr>
              <w:spacing w:line="520" w:lineRule="exact"/>
              <w:ind w:firstLineChars="200" w:firstLine="560"/>
              <w:rPr>
                <w:rFonts w:ascii="宋体" w:hAnsi="宋体"/>
                <w:sz w:val="28"/>
                <w:szCs w:val="28"/>
              </w:rPr>
            </w:pPr>
            <w:r>
              <w:rPr>
                <w:rFonts w:ascii="宋体" w:hAnsi="宋体" w:hint="eastAsia"/>
                <w:sz w:val="28"/>
                <w:szCs w:val="28"/>
              </w:rPr>
              <w:lastRenderedPageBreak/>
              <w:t>兖矿能源将于2026年制定2026-2028年分红政策，报董事会、股东会审议批准并按规则进行披露。我们将继续坚持现金分红的理念和导向。公司预计未来的现金流、经济效益、发展预期完全可以支持现有分红水平。</w:t>
            </w:r>
          </w:p>
        </w:tc>
      </w:tr>
    </w:tbl>
    <w:p/>
    <w:sectPr>
      <w:footerReference w:type="even" r:id="rId7"/>
      <w:footerReference w:type="default" r:id="rId8"/>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TBiaoSongSJ">
    <w:panose1 w:val="00000000000000000000"/>
    <w:charset w:val="86"/>
    <w:family w:val="auto"/>
    <w:pitch w:val="variable"/>
    <w:sig w:usb0="00000201" w:usb1="080F0000" w:usb2="00000010" w:usb3="00000000" w:csb0="00160004"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32B"/>
    <w:multiLevelType w:val="hybridMultilevel"/>
    <w:tmpl w:val="AFB0A1BE"/>
    <w:lvl w:ilvl="0" w:tplc="E8DCDC72">
      <w:start w:val="1"/>
      <w:numFmt w:val="chineseCountingThousand"/>
      <w:suff w:val="nothing"/>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736C469E"/>
    <w:multiLevelType w:val="hybridMultilevel"/>
    <w:tmpl w:val="1EC4CB1E"/>
    <w:lvl w:ilvl="0" w:tplc="A9628EEA">
      <w:start w:val="1"/>
      <w:numFmt w:val="decimal"/>
      <w:suff w:val="nothing"/>
      <w:lvlText w:val="%1"/>
      <w:lvlJc w:val="center"/>
      <w:pPr>
        <w:ind w:left="1129" w:hanging="420"/>
      </w:pPr>
      <w:rPr>
        <w:rFonts w:eastAsia="宋体" w:hint="eastAsia"/>
        <w:spacing w:val="0"/>
        <w:position w:val="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15:restartNumberingAfterBreak="0">
    <w:nsid w:val="76EA417F"/>
    <w:multiLevelType w:val="hybridMultilevel"/>
    <w:tmpl w:val="F73071D6"/>
    <w:lvl w:ilvl="0" w:tplc="F2880CA2">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816534179">
    <w:abstractNumId w:val="1"/>
  </w:num>
  <w:num w:numId="2" w16cid:durableId="260144969">
    <w:abstractNumId w:val="2"/>
  </w:num>
  <w:num w:numId="3" w16cid:durableId="136801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BmZWRlMmNlOTUzMDE2NWRlY2Y1YjE4ZTA3ZmJkOWQ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chartTrackingRefBased/>
  <w15:docId w15:val="{DE659FAD-52C0-4C01-92FE-629A99E8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lang w:val="zh-CN"/>
    </w:rPr>
  </w:style>
  <w:style w:type="character" w:customStyle="1" w:styleId="a4">
    <w:name w:val="批注框文本 字符"/>
    <w:link w:val="a3"/>
    <w:qFormat/>
    <w:rPr>
      <w:kern w:val="2"/>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lang w:val="zh-CN"/>
    </w:rPr>
  </w:style>
  <w:style w:type="character" w:customStyle="1" w:styleId="a7">
    <w:name w:val="页眉 字符"/>
    <w:link w:val="a6"/>
    <w:qFormat/>
    <w:rPr>
      <w:kern w:val="2"/>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paragraph" w:styleId="aa">
    <w:name w:val="List Paragraph"/>
    <w:basedOn w:val="a"/>
    <w:link w:val="ab"/>
    <w:uiPriority w:val="34"/>
    <w:qFormat/>
    <w:pPr>
      <w:ind w:firstLineChars="200" w:firstLine="420"/>
    </w:pPr>
  </w:style>
  <w:style w:type="character" w:customStyle="1" w:styleId="ab">
    <w:name w:val="列表段落 字符"/>
    <w:basedOn w:val="a0"/>
    <w:link w:val="aa"/>
    <w:uiPriority w:val="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58500">
      <w:bodyDiv w:val="1"/>
      <w:marLeft w:val="0"/>
      <w:marRight w:val="0"/>
      <w:marTop w:val="0"/>
      <w:marBottom w:val="0"/>
      <w:divBdr>
        <w:top w:val="none" w:sz="0" w:space="0" w:color="auto"/>
        <w:left w:val="none" w:sz="0" w:space="0" w:color="auto"/>
        <w:bottom w:val="none" w:sz="0" w:space="0" w:color="auto"/>
        <w:right w:val="none" w:sz="0" w:space="0" w:color="auto"/>
      </w:divBdr>
    </w:div>
    <w:div w:id="1801458928">
      <w:bodyDiv w:val="1"/>
      <w:marLeft w:val="0"/>
      <w:marRight w:val="0"/>
      <w:marTop w:val="0"/>
      <w:marBottom w:val="0"/>
      <w:divBdr>
        <w:top w:val="none" w:sz="0" w:space="0" w:color="auto"/>
        <w:left w:val="none" w:sz="0" w:space="0" w:color="auto"/>
        <w:bottom w:val="none" w:sz="0" w:space="0" w:color="auto"/>
        <w:right w:val="none" w:sz="0" w:space="0" w:color="auto"/>
      </w:divBdr>
    </w:div>
    <w:div w:id="1946115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917</Words>
  <Characters>5232</Characters>
  <Application>Microsoft Office Word</Application>
  <DocSecurity>0</DocSecurity>
  <Lines>43</Lines>
  <Paragraphs>12</Paragraphs>
  <ScaleCrop>false</ScaleCrop>
  <Company>yanzhoucoal</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投资者来访会谈记录</dc:title>
  <dc:subject/>
  <dc:creator>熊振中</dc:creator>
  <cp:keywords/>
  <cp:lastModifiedBy>1432642317@qq.com</cp:lastModifiedBy>
  <cp:revision>9</cp:revision>
  <cp:lastPrinted>2024-07-18T10:37:00Z</cp:lastPrinted>
  <dcterms:created xsi:type="dcterms:W3CDTF">2025-11-07T09:14:00Z</dcterms:created>
  <dcterms:modified xsi:type="dcterms:W3CDTF">2025-11-19T02:16:00Z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0B56D47173624FFE8CDF18E7E08809E5</vt:lpwstr>
  </property>
</Properties>
</file>