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82798" w14:textId="77777777" w:rsidR="00136122" w:rsidRDefault="00DC68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国机汽车股份有限公司</w:t>
      </w:r>
    </w:p>
    <w:p w14:paraId="07D3EBC2" w14:textId="77777777" w:rsidR="00136122" w:rsidRDefault="00DC68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投资者关系活动记录表</w:t>
      </w:r>
    </w:p>
    <w:tbl>
      <w:tblPr>
        <w:tblStyle w:val="ad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136122" w14:paraId="4FAF461C" w14:textId="77777777">
        <w:trPr>
          <w:trHeight w:val="1440"/>
          <w:jc w:val="center"/>
        </w:trPr>
        <w:tc>
          <w:tcPr>
            <w:tcW w:w="1668" w:type="dxa"/>
            <w:vAlign w:val="center"/>
          </w:tcPr>
          <w:p w14:paraId="6808166A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投资者关系</w:t>
            </w:r>
          </w:p>
          <w:p w14:paraId="1950CF68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vAlign w:val="center"/>
          </w:tcPr>
          <w:p w14:paraId="4C3175AA" w14:textId="77777777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特定对象调研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分析师会议</w:t>
            </w:r>
          </w:p>
          <w:p w14:paraId="207BCD08" w14:textId="77777777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媒体采访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业绩说明会</w:t>
            </w:r>
          </w:p>
          <w:p w14:paraId="48757051" w14:textId="77777777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新闻发布会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√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路演活动</w:t>
            </w:r>
          </w:p>
          <w:p w14:paraId="5C62A70B" w14:textId="77777777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现场参观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其他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36122" w14:paraId="2662D734" w14:textId="77777777">
        <w:trPr>
          <w:trHeight w:val="1740"/>
          <w:jc w:val="center"/>
        </w:trPr>
        <w:tc>
          <w:tcPr>
            <w:tcW w:w="1668" w:type="dxa"/>
            <w:vAlign w:val="center"/>
          </w:tcPr>
          <w:p w14:paraId="12217658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854" w:type="dxa"/>
            <w:vAlign w:val="center"/>
          </w:tcPr>
          <w:p w14:paraId="5FEA1F66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中信证券尹欣驰</w:t>
            </w:r>
          </w:p>
          <w:p w14:paraId="1BD3A609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中信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证券李子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俊</w:t>
            </w:r>
          </w:p>
          <w:p w14:paraId="5D79C26B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中信证券李茜</w:t>
            </w:r>
          </w:p>
          <w:p w14:paraId="3ADDB5DB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中信证券王志宣</w:t>
            </w:r>
          </w:p>
          <w:p w14:paraId="1C58BF6A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摩根士丹利基金管理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中国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有限公司李圣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谣</w:t>
            </w:r>
            <w:proofErr w:type="gramEnd"/>
          </w:p>
          <w:p w14:paraId="2CA9C6DC" w14:textId="0D607465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6. </w:t>
            </w:r>
            <w:r w:rsidR="00BB6BFD">
              <w:rPr>
                <w:rFonts w:ascii="Times New Roman" w:hAnsi="Times New Roman" w:hint="eastAsia"/>
                <w:sz w:val="24"/>
                <w:szCs w:val="24"/>
              </w:rPr>
              <w:t>东兴证券刘</w:t>
            </w:r>
            <w:r>
              <w:rPr>
                <w:rFonts w:ascii="Times New Roman" w:hAnsi="Times New Roman" w:hint="eastAsia"/>
                <w:sz w:val="24"/>
                <w:szCs w:val="24"/>
              </w:rPr>
              <w:t>紫薇</w:t>
            </w:r>
          </w:p>
          <w:p w14:paraId="2651452E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中国银河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证券徐都一</w:t>
            </w:r>
            <w:proofErr w:type="gramEnd"/>
          </w:p>
          <w:p w14:paraId="029961B7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爱玛科技田健</w:t>
            </w:r>
          </w:p>
          <w:p w14:paraId="4ED64819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国机集团产业投资有限公司汪冰</w:t>
            </w:r>
          </w:p>
          <w:p w14:paraId="191BB307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国机集团产业投资有限公司张栋迪</w:t>
            </w:r>
          </w:p>
          <w:p w14:paraId="68525939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国机集团产业投资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有限公司韩鹏</w:t>
            </w:r>
            <w:proofErr w:type="gramEnd"/>
          </w:p>
        </w:tc>
      </w:tr>
      <w:tr w:rsidR="00136122" w14:paraId="39EFAB94" w14:textId="77777777">
        <w:trPr>
          <w:jc w:val="center"/>
        </w:trPr>
        <w:tc>
          <w:tcPr>
            <w:tcW w:w="1668" w:type="dxa"/>
            <w:vAlign w:val="center"/>
          </w:tcPr>
          <w:p w14:paraId="38E6ACA0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54" w:type="dxa"/>
            <w:vAlign w:val="center"/>
          </w:tcPr>
          <w:p w14:paraId="04793B96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136122" w14:paraId="2E0623FC" w14:textId="77777777">
        <w:trPr>
          <w:jc w:val="center"/>
        </w:trPr>
        <w:tc>
          <w:tcPr>
            <w:tcW w:w="1668" w:type="dxa"/>
            <w:vAlign w:val="center"/>
          </w:tcPr>
          <w:p w14:paraId="3A962E8C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54" w:type="dxa"/>
            <w:vAlign w:val="center"/>
          </w:tcPr>
          <w:p w14:paraId="2E848C46" w14:textId="77777777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天津市中国汽车工业工程有限公司</w:t>
            </w:r>
          </w:p>
        </w:tc>
      </w:tr>
      <w:tr w:rsidR="00136122" w14:paraId="71693A95" w14:textId="77777777">
        <w:trPr>
          <w:jc w:val="center"/>
        </w:trPr>
        <w:tc>
          <w:tcPr>
            <w:tcW w:w="1668" w:type="dxa"/>
            <w:vAlign w:val="center"/>
          </w:tcPr>
          <w:p w14:paraId="3C9F4A1F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  <w:vAlign w:val="center"/>
          </w:tcPr>
          <w:p w14:paraId="6E942D52" w14:textId="77777777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党委书记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董事长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：戴旻</w:t>
            </w:r>
          </w:p>
          <w:p w14:paraId="19BCBB71" w14:textId="77777777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财务总监兼董事会秘书：张之亮</w:t>
            </w:r>
          </w:p>
          <w:p w14:paraId="6B86C44E" w14:textId="77777777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董事会办公室（战略投资部）主任：聂秀欣</w:t>
            </w:r>
          </w:p>
          <w:p w14:paraId="78631A31" w14:textId="77777777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资产财务部部长：郭天炜</w:t>
            </w:r>
          </w:p>
          <w:p w14:paraId="45EB5D5B" w14:textId="77777777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证券事务代表：蒋舒</w:t>
            </w:r>
          </w:p>
          <w:p w14:paraId="5B6266D1" w14:textId="77777777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董事会办公室（战略投资部）业务经理：王宇</w:t>
            </w:r>
          </w:p>
        </w:tc>
      </w:tr>
      <w:tr w:rsidR="00136122" w14:paraId="08022F93" w14:textId="77777777">
        <w:trPr>
          <w:jc w:val="center"/>
        </w:trPr>
        <w:tc>
          <w:tcPr>
            <w:tcW w:w="1668" w:type="dxa"/>
            <w:vAlign w:val="center"/>
          </w:tcPr>
          <w:p w14:paraId="6CF94DC1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54" w:type="dxa"/>
            <w:vAlign w:val="center"/>
          </w:tcPr>
          <w:p w14:paraId="735B2397" w14:textId="77777777" w:rsidR="00136122" w:rsidRDefault="00DC68D4">
            <w:pPr>
              <w:spacing w:line="3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11</w:t>
            </w:r>
            <w:r>
              <w:rPr>
                <w:rFonts w:ascii="Times New Roman" w:hAnsi="Times New Roman" w:hint="eastAsia"/>
                <w:sz w:val="24"/>
                <w:szCs w:val="21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1"/>
              </w:rPr>
              <w:t>25</w:t>
            </w:r>
            <w:r>
              <w:rPr>
                <w:rFonts w:ascii="Times New Roman" w:hAnsi="Times New Roman" w:hint="eastAsia"/>
                <w:sz w:val="24"/>
                <w:szCs w:val="21"/>
              </w:rPr>
              <w:t>日，</w:t>
            </w:r>
            <w:r>
              <w:rPr>
                <w:rFonts w:ascii="Times New Roman" w:hAnsi="Times New Roman" w:hint="eastAsia"/>
                <w:sz w:val="24"/>
                <w:szCs w:val="21"/>
              </w:rPr>
              <w:t>11</w:t>
            </w:r>
            <w:r>
              <w:rPr>
                <w:rFonts w:ascii="Times New Roman" w:hAnsi="Times New Roman" w:hint="eastAsia"/>
                <w:sz w:val="24"/>
                <w:szCs w:val="21"/>
              </w:rPr>
              <w:t>家投资者走进公司全资子公司中国汽车工业工程有限公司（以下简称“中汽工程”）进行参观交流。活动期间，参观了中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汽工程中北涂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装研发制造基地、中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汽工程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展厅及</w:t>
            </w:r>
            <w:r>
              <w:rPr>
                <w:rFonts w:ascii="Times New Roman" w:hAnsi="Times New Roman" w:hint="eastAsia"/>
                <w:sz w:val="24"/>
                <w:szCs w:val="21"/>
              </w:rPr>
              <w:t>20</w:t>
            </w:r>
            <w:r>
              <w:rPr>
                <w:rFonts w:ascii="Times New Roman" w:hAnsi="Times New Roman" w:hint="eastAsia"/>
                <w:sz w:val="24"/>
                <w:szCs w:val="21"/>
              </w:rPr>
              <w:t>周年特展，并与公司管理层进行了座谈交流。</w:t>
            </w:r>
          </w:p>
          <w:p w14:paraId="1C9A56F9" w14:textId="77777777" w:rsidR="00136122" w:rsidRDefault="00DC68D4">
            <w:pPr>
              <w:spacing w:line="360" w:lineRule="exact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一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：公司主要核心竞争优势有哪些？</w:t>
            </w:r>
          </w:p>
          <w:p w14:paraId="4CEF38A8" w14:textId="77777777" w:rsidR="00136122" w:rsidRDefault="00DC68D4">
            <w:pPr>
              <w:ind w:firstLineChars="200" w:firstLine="480"/>
              <w:contextualSpacing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答：公司的核心竞争力可以概括为六方面。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第一，行业地位优势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，公司在汽车工程、汽车流通、汽车租赁等核心业务领域均位居细分市场前列；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第二，产业链布局优势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，公司以汽车工程技术与装备为核心，涵盖汽车批售、零售、进口、出口、维修、物流、租赁、零部件、循环再生等汽车全产业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链业务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布局；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第三，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央企平台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，公司是国机集团旗下工业化建设与供应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链业务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中汽车服务领域的唯一上市平台；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第四，产融结合优势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，自上市以来开展多轮资本运作，先后重组中汽进出口、中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汽工程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等优质资产，并在资本市场募集资金赋能业务发展；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第五，技术创新优势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，攻关多项“卡脖子”技术并填补国内空白；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第六，国际化经营优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lastRenderedPageBreak/>
              <w:t>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，融入全球汽车产业生态，汽车工程系统服务累计承接</w:t>
            </w:r>
            <w:r>
              <w:rPr>
                <w:rFonts w:ascii="Times New Roman" w:hAnsi="Times New Roman" w:hint="eastAsia"/>
                <w:sz w:val="24"/>
                <w:szCs w:val="21"/>
              </w:rPr>
              <w:t>300</w:t>
            </w:r>
            <w:r>
              <w:rPr>
                <w:rFonts w:ascii="Times New Roman" w:hAnsi="Times New Roman" w:hint="eastAsia"/>
                <w:sz w:val="24"/>
                <w:szCs w:val="21"/>
              </w:rPr>
              <w:t>余个海外项目，遍及</w:t>
            </w:r>
            <w:r>
              <w:rPr>
                <w:rFonts w:ascii="Times New Roman" w:hAnsi="Times New Roman" w:hint="eastAsia"/>
                <w:sz w:val="24"/>
                <w:szCs w:val="21"/>
              </w:rPr>
              <w:t>40</w:t>
            </w:r>
            <w:r>
              <w:rPr>
                <w:rFonts w:ascii="Times New Roman" w:hAnsi="Times New Roman" w:hint="eastAsia"/>
                <w:sz w:val="24"/>
                <w:szCs w:val="21"/>
              </w:rPr>
              <w:t>多个国家和地区，汽车流通服务在欧洲形成整车出口分销综合服务体系。</w:t>
            </w:r>
          </w:p>
          <w:p w14:paraId="17D4A712" w14:textId="77777777" w:rsidR="00136122" w:rsidRDefault="00DC68D4">
            <w:pPr>
              <w:spacing w:line="360" w:lineRule="exact"/>
              <w:ind w:firstLineChars="200" w:firstLine="482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问题二：公司汽车工程系统服务具体是做什么？客户有哪些？</w:t>
            </w:r>
          </w:p>
          <w:p w14:paraId="55D0E5AC" w14:textId="77777777" w:rsidR="00136122" w:rsidRDefault="00DC68D4">
            <w:pPr>
              <w:ind w:firstLineChars="200" w:firstLine="480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答：汽车工程系统服务包括工程技术服务、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装备产线系统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解决方案、工程总承包三大主营业务，横向涵盖咨询、勘察、设计、制造、安调、交付、运维全周期，纵向打通研发、试验、制造、安调、交付全产业链。客户包括</w:t>
            </w:r>
            <w:r>
              <w:rPr>
                <w:rFonts w:ascii="Times New Roman" w:hAnsi="Times New Roman"/>
                <w:sz w:val="24"/>
                <w:szCs w:val="21"/>
              </w:rPr>
              <w:t>宝马、奔驰、大众、沃尔沃、上汽、北汽、长安、比亚迪、特斯拉、蔚来、小鹏、理想、小米等全球各大汽车集团，业务遍及全球</w:t>
            </w:r>
            <w:r>
              <w:rPr>
                <w:rFonts w:ascii="Times New Roman" w:hAnsi="Times New Roman"/>
                <w:sz w:val="24"/>
                <w:szCs w:val="21"/>
              </w:rPr>
              <w:t>20</w:t>
            </w:r>
            <w:r>
              <w:rPr>
                <w:rFonts w:ascii="Times New Roman" w:hAnsi="Times New Roman"/>
                <w:sz w:val="24"/>
                <w:szCs w:val="21"/>
              </w:rPr>
              <w:t>余个国家。</w:t>
            </w:r>
          </w:p>
          <w:p w14:paraId="6344C814" w14:textId="77777777" w:rsidR="00136122" w:rsidRDefault="00DC68D4">
            <w:pPr>
              <w:spacing w:line="360" w:lineRule="exact"/>
              <w:ind w:firstLineChars="200" w:firstLine="482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问题三：中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汽工程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的行业定位？差异化竞争优势是什么？</w:t>
            </w:r>
          </w:p>
          <w:p w14:paraId="60BC92DC" w14:textId="77777777" w:rsidR="00136122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答：</w:t>
            </w:r>
            <w:r>
              <w:rPr>
                <w:rFonts w:ascii="Times New Roman" w:hAnsi="Times New Roman" w:hint="eastAsia"/>
                <w:sz w:val="24"/>
                <w:szCs w:val="21"/>
              </w:rPr>
              <w:t>公司全资子公司中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汽工程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是中国机械行业规模最大、业务链条最全、国际化程度最高的综合性、专业化工程服务商。在天津、洛阳、济南拥有总建筑面积超</w:t>
            </w:r>
            <w:r>
              <w:rPr>
                <w:rFonts w:ascii="Times New Roman" w:hAnsi="Times New Roman" w:hint="eastAsia"/>
                <w:sz w:val="24"/>
                <w:szCs w:val="21"/>
              </w:rPr>
              <w:t>3</w:t>
            </w:r>
            <w:r>
              <w:rPr>
                <w:rFonts w:ascii="Times New Roman" w:hAnsi="Times New Roman"/>
                <w:sz w:val="24"/>
                <w:szCs w:val="21"/>
              </w:rPr>
              <w:t>0</w:t>
            </w:r>
            <w:r>
              <w:rPr>
                <w:rFonts w:ascii="Times New Roman" w:hAnsi="Times New Roman" w:hint="eastAsia"/>
                <w:sz w:val="24"/>
                <w:szCs w:val="21"/>
              </w:rPr>
              <w:t>万</w:t>
            </w:r>
            <w:r>
              <w:rPr>
                <w:rFonts w:ascii="Times New Roman" w:hAnsi="Times New Roman" w:hint="eastAsia"/>
                <w:sz w:val="24"/>
                <w:szCs w:val="21"/>
              </w:rPr>
              <w:t>m</w:t>
            </w:r>
            <w:r>
              <w:rPr>
                <w:rFonts w:ascii="Times New Roman" w:hAnsi="Times New Roman"/>
                <w:sz w:val="24"/>
                <w:szCs w:val="21"/>
              </w:rPr>
              <w:t>²</w:t>
            </w:r>
            <w:r>
              <w:rPr>
                <w:rFonts w:ascii="Times New Roman" w:hAnsi="Times New Roman" w:hint="eastAsia"/>
                <w:sz w:val="24"/>
                <w:szCs w:val="21"/>
              </w:rPr>
              <w:t>的四个装备研发、试验、制造一体化中心，涵盖汽车焊装、涂装、总装、铸锻、物流及数字化、智能化业务，形成“高质量、优成本、短周期、增值化”的全产业链、全周期工程技术服务能力，其中，涂装、总装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装备产线系统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解决方案处于全球领先地位，焊装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装备产线系统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解决方案等业务处于国内领先地位。</w:t>
            </w:r>
          </w:p>
          <w:p w14:paraId="3D5AFBD5" w14:textId="77777777" w:rsidR="00136122" w:rsidRDefault="00DC68D4">
            <w:pPr>
              <w:spacing w:line="360" w:lineRule="exact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问题四：近年来，公司国际化布局成果显著，哪些区域是重点？</w:t>
            </w:r>
          </w:p>
          <w:p w14:paraId="42EC11F2" w14:textId="77777777" w:rsidR="00136122" w:rsidRDefault="00DC68D4">
            <w:pPr>
              <w:ind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bookmarkStart w:id="0" w:name="_Toc873750574"/>
            <w:r>
              <w:rPr>
                <w:rFonts w:ascii="Times New Roman" w:eastAsia="宋体" w:hAnsi="Times New Roman" w:hint="eastAsia"/>
                <w:sz w:val="24"/>
                <w:szCs w:val="24"/>
              </w:rPr>
              <w:t>公司深度融入全球汽车产业生态，积极响应国家“走出去”战略和“一带一路”倡议，凭借全球化的技术积累、卓越服务和成熟的国际化项目管理经验，构建起涵盖汽车工程系统服务、汽车出口服务的国际化经营能力体系，持续拓展海外市场。汽车工程系统服务累计承接海外项目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余个，遍及全球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余个国家，总体分布在欧洲、北美两个汽车工业发达地区，以及“一带一路”沿线国家和地区，设有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家海外分支机构，形成海外业务全产业链、全周期的核心能力和成熟体系。</w:t>
            </w:r>
          </w:p>
          <w:p w14:paraId="4B33E45B" w14:textId="349AB0E2" w:rsidR="00136122" w:rsidRDefault="00DC68D4">
            <w:pPr>
              <w:ind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汽车流通服务复用成熟的流通业务能力为先发优势，积极布局探索，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年三季度，与北汽福田达成合作，已实现南非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地区首单业务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突破。</w:t>
            </w:r>
            <w:bookmarkEnd w:id="0"/>
          </w:p>
          <w:p w14:paraId="3BAA0191" w14:textId="32BEEE2B" w:rsidR="006A2BBA" w:rsidRDefault="006A2BBA" w:rsidP="006A2BBA">
            <w:pPr>
              <w:spacing w:line="360" w:lineRule="exact"/>
              <w:ind w:firstLineChars="200" w:firstLine="482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问题五：公司在科技创新方面的</w:t>
            </w:r>
            <w:r w:rsidR="00C7010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实践应用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？</w:t>
            </w:r>
          </w:p>
          <w:p w14:paraId="2D80A82B" w14:textId="1CC02879" w:rsidR="006A2BBA" w:rsidRDefault="006A2BBA" w:rsidP="006A2BBA">
            <w:pPr>
              <w:ind w:firstLine="480"/>
              <w:rPr>
                <w:rFonts w:ascii="Times New Roman" w:hAnsi="Times New Roman"/>
                <w:bCs/>
                <w:sz w:val="24"/>
                <w:szCs w:val="21"/>
              </w:rPr>
            </w:pP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答：</w:t>
            </w:r>
            <w:r w:rsidR="00AB2436">
              <w:rPr>
                <w:rFonts w:ascii="Times New Roman" w:hAnsi="Times New Roman" w:hint="eastAsia"/>
                <w:bCs/>
                <w:sz w:val="24"/>
                <w:szCs w:val="21"/>
              </w:rPr>
              <w:t>公司</w:t>
            </w:r>
            <w:r w:rsidR="00AB2436" w:rsidRPr="00AB2436">
              <w:rPr>
                <w:rFonts w:ascii="Times New Roman" w:hAnsi="Times New Roman" w:hint="eastAsia"/>
                <w:bCs/>
                <w:sz w:val="24"/>
                <w:szCs w:val="21"/>
              </w:rPr>
              <w:t>坚持科技创新发展，在汽车行业核心工艺、装备技术、数字化、智能化领域取得系列重大突破。</w:t>
            </w:r>
            <w:r w:rsidR="00C7010A" w:rsidRPr="00C7010A"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焊装方面：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研发的车身门盖自动装配解决方案，是由工业机器人、自动拧紧系统、最优拟合（</w:t>
            </w:r>
            <w:proofErr w:type="spellStart"/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BestFit</w:t>
            </w:r>
            <w:proofErr w:type="spellEnd"/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）视觉系统、质量监控系统、输送系统和车身定位系统组成，实现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 xml:space="preserve"> 60%-85%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的自动化率，有效降低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 xml:space="preserve"> 50%-60%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的人工，装配精度稳定性提升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15%-20%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，该方案已成功应用于比亚迪、沃尔沃等项目，达到国内领先水平。</w:t>
            </w:r>
            <w:r w:rsidR="00AB2436" w:rsidRPr="00AB2436"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涂装方面：</w:t>
            </w:r>
            <w:r w:rsidR="00AB2436" w:rsidRPr="00AB2436">
              <w:rPr>
                <w:rFonts w:ascii="Times New Roman" w:hAnsi="Times New Roman"/>
                <w:bCs/>
                <w:sz w:val="24"/>
                <w:szCs w:val="21"/>
              </w:rPr>
              <w:t>研发的涂装车间低碳解决方案，包含干式喷房系统、电加热烘干系统、电加热废气处理系统，整体方案高度智能化与节能化，有效提高能</w:t>
            </w:r>
            <w:r w:rsidR="00AB2436" w:rsidRPr="00AB2436">
              <w:rPr>
                <w:rFonts w:ascii="Times New Roman" w:hAnsi="Times New Roman"/>
                <w:bCs/>
                <w:sz w:val="24"/>
                <w:szCs w:val="21"/>
              </w:rPr>
              <w:lastRenderedPageBreak/>
              <w:t>源利用效率，降低涂装工艺整体能耗</w:t>
            </w:r>
            <w:r w:rsidR="00AB2436">
              <w:rPr>
                <w:rFonts w:ascii="Times New Roman" w:hAnsi="Times New Roman" w:hint="eastAsia"/>
                <w:bCs/>
                <w:sz w:val="24"/>
                <w:szCs w:val="21"/>
              </w:rPr>
              <w:t>。</w:t>
            </w:r>
            <w:r w:rsidR="00C7010A" w:rsidRPr="00C7010A"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总装方面：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研发的全柔性</w:t>
            </w:r>
            <w:r w:rsidR="008D39E3">
              <w:rPr>
                <w:rFonts w:ascii="Times New Roman" w:hAnsi="Times New Roman" w:hint="eastAsia"/>
                <w:bCs/>
                <w:sz w:val="24"/>
                <w:szCs w:val="21"/>
              </w:rPr>
              <w:t>智能装配线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，通过自动导引运输车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 xml:space="preserve"> AGV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（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Automated Guided Vehicle</w:t>
            </w:r>
            <w:r w:rsidR="00C7010A" w:rsidRPr="00C7010A">
              <w:rPr>
                <w:rFonts w:ascii="Times New Roman" w:hAnsi="Times New Roman"/>
                <w:bCs/>
                <w:sz w:val="24"/>
                <w:szCs w:val="21"/>
              </w:rPr>
              <w:t>）、智能装配机器人等产品的协调应用，将适合独立生产的工序从传统流水线剥离，实现灵活装配生产，具备柔性化、智能化、无人化、差异化特点，已在多个项目上应用。</w:t>
            </w:r>
          </w:p>
          <w:p w14:paraId="12DD6E12" w14:textId="2868FDBB" w:rsidR="008D39E3" w:rsidRDefault="008D39E3" w:rsidP="008D39E3">
            <w:pPr>
              <w:ind w:firstLineChars="200" w:firstLine="482"/>
              <w:rPr>
                <w:rFonts w:ascii="Times New Roman" w:hAnsi="Times New Roman"/>
                <w:bCs/>
                <w:sz w:val="24"/>
                <w:szCs w:val="21"/>
              </w:rPr>
            </w:pPr>
            <w:r w:rsidRPr="008D39E3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问题六：中汽工程成立苏州分公司暨创新中心，这个创新中心的创新方向是</w:t>
            </w:r>
            <w:r w:rsidR="00EB7941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哪些</w:t>
            </w:r>
            <w:bookmarkStart w:id="1" w:name="_GoBack"/>
            <w:bookmarkEnd w:id="1"/>
            <w:r w:rsidRPr="008D39E3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60740A22" w14:textId="76C8688D" w:rsidR="008D39E3" w:rsidRDefault="008D39E3" w:rsidP="006A2BBA">
            <w:pPr>
              <w:ind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答：</w:t>
            </w:r>
            <w:r>
              <w:rPr>
                <w:rFonts w:ascii="宋体" w:eastAsia="宋体" w:hAnsi="宋体" w:cstheme="minorEastAsia" w:hint="eastAsia"/>
                <w:sz w:val="24"/>
              </w:rPr>
              <w:t>公司全资子公司中</w:t>
            </w:r>
            <w:proofErr w:type="gramStart"/>
            <w:r>
              <w:rPr>
                <w:rFonts w:ascii="宋体" w:eastAsia="宋体" w:hAnsi="宋体" w:cstheme="minorEastAsia" w:hint="eastAsia"/>
                <w:sz w:val="24"/>
              </w:rPr>
              <w:t>汽工程</w:t>
            </w:r>
            <w:proofErr w:type="gramEnd"/>
            <w:r>
              <w:rPr>
                <w:rFonts w:ascii="宋体" w:eastAsia="宋体" w:hAnsi="宋体" w:cstheme="minorEastAsia" w:hint="eastAsia"/>
                <w:sz w:val="24"/>
              </w:rPr>
              <w:t>苏州分公司是定位于专注创新与前瞻技术的专职研发机构，将聚焦业务</w:t>
            </w:r>
            <w:proofErr w:type="gramStart"/>
            <w:r>
              <w:rPr>
                <w:rFonts w:ascii="宋体" w:eastAsia="宋体" w:hAnsi="宋体" w:cstheme="minorEastAsia" w:hint="eastAsia"/>
                <w:sz w:val="24"/>
              </w:rPr>
              <w:t>链产品</w:t>
            </w:r>
            <w:proofErr w:type="gramEnd"/>
            <w:r>
              <w:rPr>
                <w:rFonts w:ascii="宋体" w:eastAsia="宋体" w:hAnsi="宋体" w:cstheme="minorEastAsia" w:hint="eastAsia"/>
                <w:sz w:val="24"/>
              </w:rPr>
              <w:t>研发环节，开展产品和工艺创新研发，为中</w:t>
            </w:r>
            <w:proofErr w:type="gramStart"/>
            <w:r>
              <w:rPr>
                <w:rFonts w:ascii="宋体" w:eastAsia="宋体" w:hAnsi="宋体" w:cstheme="minorEastAsia" w:hint="eastAsia"/>
                <w:sz w:val="24"/>
              </w:rPr>
              <w:t>汽工程</w:t>
            </w:r>
            <w:proofErr w:type="gramEnd"/>
            <w:r>
              <w:rPr>
                <w:rFonts w:ascii="宋体" w:eastAsia="宋体" w:hAnsi="宋体" w:cstheme="minorEastAsia" w:hint="eastAsia"/>
                <w:sz w:val="24"/>
              </w:rPr>
              <w:t>提供技术赋能</w:t>
            </w:r>
            <w:r w:rsidRPr="00EA74F6">
              <w:rPr>
                <w:rFonts w:ascii="宋体" w:eastAsia="宋体" w:hAnsi="宋体" w:cstheme="minorEastAsia" w:hint="eastAsia"/>
                <w:sz w:val="24"/>
              </w:rPr>
              <w:t>。</w:t>
            </w:r>
          </w:p>
          <w:p w14:paraId="00171327" w14:textId="7512498A" w:rsidR="00136122" w:rsidRDefault="006A2BBA">
            <w:pPr>
              <w:ind w:firstLineChars="200" w:firstLine="482"/>
              <w:rPr>
                <w:rFonts w:ascii="Times New Roman" w:eastAsia="宋体" w:hAnsi="Times New Roman" w:cs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问题</w:t>
            </w:r>
            <w:r w:rsidR="008D39E3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七</w:t>
            </w:r>
            <w:r w:rsidR="00DC68D4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：二</w:t>
            </w: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十届四中全会提出科技创新是“十五五”时期重要主题，公司如何打算？</w:t>
            </w:r>
          </w:p>
          <w:p w14:paraId="5B4843ED" w14:textId="77777777" w:rsidR="00136122" w:rsidRDefault="00DC68D4">
            <w:pPr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年，公司启动“十五五”规划的编制工作。全面贯彻新发展理念，加快构建新发展格局，积极发挥科技创新、产业控制、安全支撑作用。科技创新方面，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加大技术创新和关键核心技术攻关力度，打造核心技术、关键装备、集成应用等自主可控的系统解决方案；推动创新管理体系升级，更好发挥创新研发体制机制作用；深化产学研合作，联合外部资源推动技术创新和产品升级。</w:t>
            </w:r>
          </w:p>
          <w:p w14:paraId="1FCAD4F2" w14:textId="6148057D" w:rsidR="00136122" w:rsidRDefault="00DC68D4">
            <w:pPr>
              <w:ind w:firstLineChars="200" w:firstLine="482"/>
              <w:rPr>
                <w:rFonts w:ascii="Times New Roman" w:eastAsia="宋体" w:hAnsi="Times New Roman" w:cs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问题</w:t>
            </w:r>
            <w:r w:rsidR="008D39E3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八</w:t>
            </w: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：汽车流通运营服务未来如何发展？</w:t>
            </w:r>
          </w:p>
          <w:p w14:paraId="43580641" w14:textId="77777777" w:rsidR="00136122" w:rsidRDefault="00DC68D4">
            <w:pPr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答：汽车流通运营服务作为公司主营业务之一，凭借深厚的历史积累和稳健高效的经营，公司与多家跨国车企建立了长期、稳定、良好的合作关系。未来，公司在确保进口汽车业务持续性和稳定性的基础上，积极拓展国际市场。</w:t>
            </w:r>
          </w:p>
          <w:p w14:paraId="39A0192F" w14:textId="122455A7" w:rsidR="00136122" w:rsidRDefault="00DC68D4" w:rsidP="00BB6BFD">
            <w:pPr>
              <w:ind w:firstLine="495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8D39E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九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：公司在市值管理方面做了哪些工作？</w:t>
            </w:r>
          </w:p>
          <w:p w14:paraId="4DF2F531" w14:textId="77777777" w:rsidR="00136122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公司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积极贯彻落实国资委、证监会、国机集团关于市值管理相关要求，将市值管理作为一项长期战略管理行为，制定《市值管理制度》</w:t>
            </w: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、发布《估值提升计划》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，完成市值管理顶层设计，构建以企业价值为核心的市值管理体系，推动公司通过高质量发展提升长期投资价值。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br/>
              <w:t>  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在具体举措方面，公司积极运用市值管理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工具箱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。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一是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践行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以投资者为本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”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理念，持续完善股东回报机制。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2025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年，公司在去年实施中期分红的基础上继续推进中期分红，并制定《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2025-2027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年股东回报规划》。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二是首次实施股份回购，向市场传递发展信心。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公司在深入研究股份回购政策基础上，于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2025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年制定《股份回购方案》，以集中竞价交易方式使用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2,500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万元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-5,000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万元资金回购公司股票，回购后的股票将全部注销。</w:t>
            </w:r>
          </w:p>
          <w:p w14:paraId="28F60A60" w14:textId="25E0BA78" w:rsidR="00136122" w:rsidRDefault="00DC68D4">
            <w:pPr>
              <w:spacing w:line="360" w:lineRule="exact"/>
              <w:ind w:firstLineChars="200" w:firstLine="482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8D39E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十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ESG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治理日益成为关注的焦点，公司目前在环境、社会、治理方面有哪些进展？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ESG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评级情况如何？</w:t>
            </w:r>
          </w:p>
          <w:p w14:paraId="01AC40A3" w14:textId="77777777" w:rsidR="00136122" w:rsidRDefault="00DC68D4">
            <w:pPr>
              <w:ind w:firstLine="495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答：公司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践行</w:t>
            </w:r>
            <w:bookmarkStart w:id="2" w:name="OLE_LINK20"/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可持续发展</w:t>
            </w:r>
            <w:bookmarkEnd w:id="2"/>
            <w:r>
              <w:rPr>
                <w:rFonts w:ascii="Times New Roman" w:eastAsia="宋体" w:hAnsi="Times New Roman" w:hint="eastAsia"/>
                <w:sz w:val="24"/>
                <w:szCs w:val="24"/>
              </w:rPr>
              <w:t>理念，构建覆盖环境、社会、治理的系统管理体系，通过《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ESG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管理办法》搭建顶层架构，建立以董事会战略与可持续发展委员会为指导、日常办事机构和执行单位为纵横支撑的工作机制。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在绿色发展方面，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公司构建“绿色设计—低碳建造—智慧运维”全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链条减碳体系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范式，助力产业链可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持续发展与绿色转型；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在助力产业</w:t>
            </w: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链发展</w:t>
            </w:r>
            <w:proofErr w:type="gramEnd"/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方面，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公司携手合作伙伴，持续完善客户服务体系和供应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商管理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体系建设，强化产业链韧性与安全；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在完善治理体系方面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公司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以数智化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转型提升治理效能，夯实高质量发展根基，为战略执行提供制度保障与组织活力。</w:t>
            </w:r>
          </w:p>
          <w:p w14:paraId="0236B674" w14:textId="77777777" w:rsidR="00136122" w:rsidRDefault="00DC68D4">
            <w:pPr>
              <w:ind w:firstLine="4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年，基于在环境、社会和治理领域的卓越表现与深耕细作，国机</w:t>
            </w:r>
            <w:proofErr w:type="gramStart"/>
            <w:r>
              <w:rPr>
                <w:rFonts w:ascii="Times New Roman" w:eastAsia="宋体" w:hAnsi="Times New Roman"/>
                <w:sz w:val="24"/>
                <w:szCs w:val="24"/>
              </w:rPr>
              <w:t>汽车获</w:t>
            </w:r>
            <w:proofErr w:type="gramEnd"/>
            <w:r>
              <w:rPr>
                <w:rFonts w:ascii="Times New Roman" w:eastAsia="宋体" w:hAnsi="Times New Roman"/>
                <w:sz w:val="24"/>
                <w:szCs w:val="24"/>
              </w:rPr>
              <w:t>评</w:t>
            </w:r>
            <w:proofErr w:type="spellStart"/>
            <w:r>
              <w:rPr>
                <w:rFonts w:ascii="Times New Roman" w:eastAsia="宋体" w:hAnsi="Times New Roman"/>
                <w:sz w:val="24"/>
                <w:szCs w:val="24"/>
              </w:rPr>
              <w:t>WindESG</w:t>
            </w:r>
            <w:proofErr w:type="spellEnd"/>
            <w:r>
              <w:rPr>
                <w:rFonts w:ascii="Times New Roman" w:eastAsia="宋体" w:hAnsi="Times New Roman"/>
                <w:sz w:val="24"/>
                <w:szCs w:val="24"/>
              </w:rPr>
              <w:t>所在行业最高评级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AA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，并荣列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Wind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发布的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“2025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年度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Wind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中国上市公司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ESG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最佳实践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强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榜单；同时，获评中诚信绿</w:t>
            </w:r>
            <w:proofErr w:type="gramStart"/>
            <w:r>
              <w:rPr>
                <w:rFonts w:ascii="Times New Roman" w:eastAsia="宋体" w:hAnsi="Times New Roman"/>
                <w:sz w:val="24"/>
                <w:szCs w:val="24"/>
              </w:rPr>
              <w:t>金所在</w:t>
            </w:r>
            <w:proofErr w:type="gramEnd"/>
            <w:r>
              <w:rPr>
                <w:rFonts w:ascii="Times New Roman" w:eastAsia="宋体" w:hAnsi="Times New Roman"/>
                <w:sz w:val="24"/>
                <w:szCs w:val="24"/>
              </w:rPr>
              <w:t>行业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ESG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最高评级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AA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，并跻身上市公司前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4%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行列。</w:t>
            </w:r>
          </w:p>
        </w:tc>
      </w:tr>
      <w:tr w:rsidR="00136122" w14:paraId="26EF27F5" w14:textId="77777777">
        <w:trPr>
          <w:jc w:val="center"/>
        </w:trPr>
        <w:tc>
          <w:tcPr>
            <w:tcW w:w="1668" w:type="dxa"/>
            <w:vAlign w:val="center"/>
          </w:tcPr>
          <w:p w14:paraId="689BD854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4AD76CAF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54" w:type="dxa"/>
            <w:vAlign w:val="center"/>
          </w:tcPr>
          <w:p w14:paraId="45714EF7" w14:textId="77777777" w:rsidR="00136122" w:rsidRDefault="00DC68D4">
            <w:pPr>
              <w:pStyle w:val="af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  <w:tr w:rsidR="00136122" w14:paraId="5BFF68AB" w14:textId="77777777">
        <w:trPr>
          <w:jc w:val="center"/>
        </w:trPr>
        <w:tc>
          <w:tcPr>
            <w:tcW w:w="1668" w:type="dxa"/>
            <w:vAlign w:val="center"/>
          </w:tcPr>
          <w:p w14:paraId="5344BE06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854" w:type="dxa"/>
            <w:vAlign w:val="center"/>
          </w:tcPr>
          <w:p w14:paraId="0F3AC0B4" w14:textId="77777777" w:rsidR="00136122" w:rsidRDefault="00DC68D4">
            <w:pPr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02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5年11月25日</w:t>
            </w:r>
          </w:p>
        </w:tc>
      </w:tr>
    </w:tbl>
    <w:p w14:paraId="15B27AD4" w14:textId="77777777" w:rsidR="00136122" w:rsidRDefault="00136122"/>
    <w:sectPr w:rsidR="001361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DF4D3" w14:textId="77777777" w:rsidR="00A50F41" w:rsidRDefault="00A50F41">
      <w:r>
        <w:separator/>
      </w:r>
    </w:p>
  </w:endnote>
  <w:endnote w:type="continuationSeparator" w:id="0">
    <w:p w14:paraId="06C40905" w14:textId="77777777" w:rsidR="00A50F41" w:rsidRDefault="00A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435800"/>
    </w:sdtPr>
    <w:sdtEndPr>
      <w:rPr>
        <w:rFonts w:ascii="Times New Roman" w:hAnsi="Times New Roman" w:cs="Times New Roman"/>
      </w:rPr>
    </w:sdtEndPr>
    <w:sdtContent>
      <w:p w14:paraId="2BA53B1E" w14:textId="49B17906" w:rsidR="00136122" w:rsidRDefault="00DC68D4">
        <w:pPr>
          <w:pStyle w:val="a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B7941" w:rsidRPr="00EB7941">
          <w:rPr>
            <w:rFonts w:ascii="Times New Roman" w:hAnsi="Times New Roman" w:cs="Times New Roman"/>
            <w:noProof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EBF8D" w14:textId="77777777" w:rsidR="00A50F41" w:rsidRDefault="00A50F41">
      <w:r>
        <w:separator/>
      </w:r>
    </w:p>
  </w:footnote>
  <w:footnote w:type="continuationSeparator" w:id="0">
    <w:p w14:paraId="3734F2CF" w14:textId="77777777" w:rsidR="00A50F41" w:rsidRDefault="00A5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F519" w14:textId="77777777" w:rsidR="00136122" w:rsidRDefault="00DC68D4">
    <w:pPr>
      <w:pStyle w:val="a9"/>
      <w:jc w:val="left"/>
    </w:pPr>
    <w:r>
      <w:rPr>
        <w:rFonts w:hint="eastAsia"/>
      </w:rPr>
      <w:t>证券代码：</w:t>
    </w:r>
    <w:r>
      <w:rPr>
        <w:rFonts w:ascii="Times New Roman" w:hAnsi="Times New Roman" w:cs="Times New Roman"/>
      </w:rPr>
      <w:t xml:space="preserve">600335 </w:t>
    </w:r>
    <w:r>
      <w:t xml:space="preserve">                                                         </w:t>
    </w:r>
    <w:r>
      <w:rPr>
        <w:rFonts w:hint="eastAsia"/>
      </w:rPr>
      <w:t>证券简称：国机汽车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OWU4YmU5Y2JjODBkNTE5N2EyZmZiOWZiYjVjODMifQ=="/>
  </w:docVars>
  <w:rsids>
    <w:rsidRoot w:val="00847310"/>
    <w:rsid w:val="FD9B024C"/>
    <w:rsid w:val="00002FE6"/>
    <w:rsid w:val="00004A2F"/>
    <w:rsid w:val="00011FEB"/>
    <w:rsid w:val="000132DE"/>
    <w:rsid w:val="00014365"/>
    <w:rsid w:val="000149BD"/>
    <w:rsid w:val="00016FA6"/>
    <w:rsid w:val="0001798C"/>
    <w:rsid w:val="000221F3"/>
    <w:rsid w:val="00030B2D"/>
    <w:rsid w:val="000356A4"/>
    <w:rsid w:val="00044D4D"/>
    <w:rsid w:val="00051055"/>
    <w:rsid w:val="00054114"/>
    <w:rsid w:val="000631D4"/>
    <w:rsid w:val="00063582"/>
    <w:rsid w:val="000635BF"/>
    <w:rsid w:val="00063773"/>
    <w:rsid w:val="0006483A"/>
    <w:rsid w:val="000668CC"/>
    <w:rsid w:val="00071E83"/>
    <w:rsid w:val="0007490D"/>
    <w:rsid w:val="000866E5"/>
    <w:rsid w:val="00092159"/>
    <w:rsid w:val="00095FF1"/>
    <w:rsid w:val="00097CA6"/>
    <w:rsid w:val="000A3C5D"/>
    <w:rsid w:val="000B15AD"/>
    <w:rsid w:val="000B2511"/>
    <w:rsid w:val="000B3253"/>
    <w:rsid w:val="000B558B"/>
    <w:rsid w:val="000C7159"/>
    <w:rsid w:val="000E47AB"/>
    <w:rsid w:val="000E634C"/>
    <w:rsid w:val="000F5ACB"/>
    <w:rsid w:val="00100F44"/>
    <w:rsid w:val="00114DE5"/>
    <w:rsid w:val="00116DD7"/>
    <w:rsid w:val="00120CC5"/>
    <w:rsid w:val="00123673"/>
    <w:rsid w:val="00126FBE"/>
    <w:rsid w:val="00136122"/>
    <w:rsid w:val="0014753D"/>
    <w:rsid w:val="00147C4F"/>
    <w:rsid w:val="001530C2"/>
    <w:rsid w:val="001603CD"/>
    <w:rsid w:val="00160DBC"/>
    <w:rsid w:val="001618BA"/>
    <w:rsid w:val="0016348D"/>
    <w:rsid w:val="00171788"/>
    <w:rsid w:val="00175BCF"/>
    <w:rsid w:val="00175F5C"/>
    <w:rsid w:val="0017752B"/>
    <w:rsid w:val="00177D6C"/>
    <w:rsid w:val="00180C23"/>
    <w:rsid w:val="001833BA"/>
    <w:rsid w:val="00183C7C"/>
    <w:rsid w:val="00186E00"/>
    <w:rsid w:val="00194600"/>
    <w:rsid w:val="00196CEC"/>
    <w:rsid w:val="001A03E5"/>
    <w:rsid w:val="001A18BF"/>
    <w:rsid w:val="001A31AE"/>
    <w:rsid w:val="001A487A"/>
    <w:rsid w:val="001A5535"/>
    <w:rsid w:val="001A6893"/>
    <w:rsid w:val="001B21A5"/>
    <w:rsid w:val="001B4016"/>
    <w:rsid w:val="001B75D4"/>
    <w:rsid w:val="001C1FFA"/>
    <w:rsid w:val="001C70B8"/>
    <w:rsid w:val="001D7E7F"/>
    <w:rsid w:val="001E33BA"/>
    <w:rsid w:val="001E44CD"/>
    <w:rsid w:val="001E511A"/>
    <w:rsid w:val="001F03E9"/>
    <w:rsid w:val="001F6A7A"/>
    <w:rsid w:val="00200CA5"/>
    <w:rsid w:val="00201459"/>
    <w:rsid w:val="0020473A"/>
    <w:rsid w:val="00205E7B"/>
    <w:rsid w:val="0021001D"/>
    <w:rsid w:val="00216C5F"/>
    <w:rsid w:val="00224836"/>
    <w:rsid w:val="00225E22"/>
    <w:rsid w:val="00230488"/>
    <w:rsid w:val="00231929"/>
    <w:rsid w:val="00235FDD"/>
    <w:rsid w:val="00245A3A"/>
    <w:rsid w:val="00245E78"/>
    <w:rsid w:val="0024685C"/>
    <w:rsid w:val="002468E6"/>
    <w:rsid w:val="00246FB3"/>
    <w:rsid w:val="00250967"/>
    <w:rsid w:val="0025254F"/>
    <w:rsid w:val="00254CB5"/>
    <w:rsid w:val="00257651"/>
    <w:rsid w:val="002624B3"/>
    <w:rsid w:val="00267005"/>
    <w:rsid w:val="0027082F"/>
    <w:rsid w:val="00273E64"/>
    <w:rsid w:val="00274CAB"/>
    <w:rsid w:val="00284E80"/>
    <w:rsid w:val="00285231"/>
    <w:rsid w:val="002879DD"/>
    <w:rsid w:val="002940FE"/>
    <w:rsid w:val="002A74C7"/>
    <w:rsid w:val="002C10CE"/>
    <w:rsid w:val="002C2C42"/>
    <w:rsid w:val="002C3BAA"/>
    <w:rsid w:val="002D28A0"/>
    <w:rsid w:val="002E2B8F"/>
    <w:rsid w:val="002F20A9"/>
    <w:rsid w:val="002F6EF9"/>
    <w:rsid w:val="00302430"/>
    <w:rsid w:val="003045AC"/>
    <w:rsid w:val="00305B7F"/>
    <w:rsid w:val="00317955"/>
    <w:rsid w:val="00321574"/>
    <w:rsid w:val="0032487F"/>
    <w:rsid w:val="003258C7"/>
    <w:rsid w:val="00327DF8"/>
    <w:rsid w:val="00332430"/>
    <w:rsid w:val="0033370F"/>
    <w:rsid w:val="003402CF"/>
    <w:rsid w:val="0034235C"/>
    <w:rsid w:val="00354ED6"/>
    <w:rsid w:val="003645C8"/>
    <w:rsid w:val="00365F0B"/>
    <w:rsid w:val="00371A49"/>
    <w:rsid w:val="0037333E"/>
    <w:rsid w:val="003763A7"/>
    <w:rsid w:val="00380B6D"/>
    <w:rsid w:val="003965F3"/>
    <w:rsid w:val="00397164"/>
    <w:rsid w:val="003A1577"/>
    <w:rsid w:val="003A202A"/>
    <w:rsid w:val="003A4C4B"/>
    <w:rsid w:val="003B20B9"/>
    <w:rsid w:val="003B63C0"/>
    <w:rsid w:val="003C11AA"/>
    <w:rsid w:val="003C7B62"/>
    <w:rsid w:val="003D13EA"/>
    <w:rsid w:val="003D166E"/>
    <w:rsid w:val="003D1B9B"/>
    <w:rsid w:val="003E55A0"/>
    <w:rsid w:val="003E6B0D"/>
    <w:rsid w:val="003E7CC7"/>
    <w:rsid w:val="003F026F"/>
    <w:rsid w:val="003F31A8"/>
    <w:rsid w:val="003F4929"/>
    <w:rsid w:val="003F60DB"/>
    <w:rsid w:val="003F6F66"/>
    <w:rsid w:val="00400238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7FD9"/>
    <w:rsid w:val="00430012"/>
    <w:rsid w:val="004301BF"/>
    <w:rsid w:val="00434FE4"/>
    <w:rsid w:val="00435ED3"/>
    <w:rsid w:val="0045020E"/>
    <w:rsid w:val="00453DFA"/>
    <w:rsid w:val="004578D3"/>
    <w:rsid w:val="00460345"/>
    <w:rsid w:val="00465EFA"/>
    <w:rsid w:val="0046668B"/>
    <w:rsid w:val="00466CA7"/>
    <w:rsid w:val="00467C31"/>
    <w:rsid w:val="00470EA6"/>
    <w:rsid w:val="004778AD"/>
    <w:rsid w:val="0049008C"/>
    <w:rsid w:val="00491FB3"/>
    <w:rsid w:val="00493B3F"/>
    <w:rsid w:val="00497C3E"/>
    <w:rsid w:val="004A0C59"/>
    <w:rsid w:val="004A2434"/>
    <w:rsid w:val="004A4F02"/>
    <w:rsid w:val="004A5378"/>
    <w:rsid w:val="004A5A35"/>
    <w:rsid w:val="004A60BE"/>
    <w:rsid w:val="004A748E"/>
    <w:rsid w:val="004B4737"/>
    <w:rsid w:val="004D1021"/>
    <w:rsid w:val="004D7DA5"/>
    <w:rsid w:val="004E09D2"/>
    <w:rsid w:val="004E49C8"/>
    <w:rsid w:val="004E54FC"/>
    <w:rsid w:val="004E694D"/>
    <w:rsid w:val="004E6B51"/>
    <w:rsid w:val="004E70D8"/>
    <w:rsid w:val="004E7496"/>
    <w:rsid w:val="004F0375"/>
    <w:rsid w:val="004F09D5"/>
    <w:rsid w:val="004F29A7"/>
    <w:rsid w:val="005000DD"/>
    <w:rsid w:val="005078F1"/>
    <w:rsid w:val="00510102"/>
    <w:rsid w:val="00516466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77BF"/>
    <w:rsid w:val="00550B33"/>
    <w:rsid w:val="005522C1"/>
    <w:rsid w:val="0055355E"/>
    <w:rsid w:val="00553D41"/>
    <w:rsid w:val="005547C8"/>
    <w:rsid w:val="00556677"/>
    <w:rsid w:val="00562268"/>
    <w:rsid w:val="005722D1"/>
    <w:rsid w:val="005735E2"/>
    <w:rsid w:val="00582F37"/>
    <w:rsid w:val="00585DCD"/>
    <w:rsid w:val="0059203A"/>
    <w:rsid w:val="00592B92"/>
    <w:rsid w:val="00597D77"/>
    <w:rsid w:val="005A0C7A"/>
    <w:rsid w:val="005A14FA"/>
    <w:rsid w:val="005A1628"/>
    <w:rsid w:val="005A28B7"/>
    <w:rsid w:val="005A7471"/>
    <w:rsid w:val="005B10D0"/>
    <w:rsid w:val="005B1CA1"/>
    <w:rsid w:val="005B2C0D"/>
    <w:rsid w:val="005B4529"/>
    <w:rsid w:val="005B777D"/>
    <w:rsid w:val="005C41E5"/>
    <w:rsid w:val="005D0C20"/>
    <w:rsid w:val="005D6656"/>
    <w:rsid w:val="005D7CFA"/>
    <w:rsid w:val="005E3BA2"/>
    <w:rsid w:val="005E4130"/>
    <w:rsid w:val="005E71AD"/>
    <w:rsid w:val="005F13D4"/>
    <w:rsid w:val="005F6375"/>
    <w:rsid w:val="005F7F0F"/>
    <w:rsid w:val="006017D6"/>
    <w:rsid w:val="00606C9E"/>
    <w:rsid w:val="00607D0A"/>
    <w:rsid w:val="006151FA"/>
    <w:rsid w:val="00616BBB"/>
    <w:rsid w:val="0061710F"/>
    <w:rsid w:val="00624948"/>
    <w:rsid w:val="00626243"/>
    <w:rsid w:val="00634524"/>
    <w:rsid w:val="00641F61"/>
    <w:rsid w:val="00642CBA"/>
    <w:rsid w:val="00643F32"/>
    <w:rsid w:val="00644B96"/>
    <w:rsid w:val="006464C4"/>
    <w:rsid w:val="0065074C"/>
    <w:rsid w:val="00650B2A"/>
    <w:rsid w:val="0065232C"/>
    <w:rsid w:val="00653321"/>
    <w:rsid w:val="006575A7"/>
    <w:rsid w:val="006640D8"/>
    <w:rsid w:val="006659A8"/>
    <w:rsid w:val="0066696D"/>
    <w:rsid w:val="006705A3"/>
    <w:rsid w:val="00673734"/>
    <w:rsid w:val="00680090"/>
    <w:rsid w:val="006854FC"/>
    <w:rsid w:val="00685774"/>
    <w:rsid w:val="00687F7A"/>
    <w:rsid w:val="00690867"/>
    <w:rsid w:val="00694C74"/>
    <w:rsid w:val="006963B7"/>
    <w:rsid w:val="006A051F"/>
    <w:rsid w:val="006A2BBA"/>
    <w:rsid w:val="006A654C"/>
    <w:rsid w:val="006B7787"/>
    <w:rsid w:val="006C0438"/>
    <w:rsid w:val="006C1ABF"/>
    <w:rsid w:val="006C2F9C"/>
    <w:rsid w:val="006E25C7"/>
    <w:rsid w:val="006E3AAA"/>
    <w:rsid w:val="006E764E"/>
    <w:rsid w:val="006F1611"/>
    <w:rsid w:val="006F57A6"/>
    <w:rsid w:val="006F59D6"/>
    <w:rsid w:val="006F6603"/>
    <w:rsid w:val="006F6B7F"/>
    <w:rsid w:val="00703FF0"/>
    <w:rsid w:val="00704C4D"/>
    <w:rsid w:val="007107F4"/>
    <w:rsid w:val="00711F65"/>
    <w:rsid w:val="00712630"/>
    <w:rsid w:val="00713035"/>
    <w:rsid w:val="007148E8"/>
    <w:rsid w:val="00720A6E"/>
    <w:rsid w:val="007316C3"/>
    <w:rsid w:val="0073306C"/>
    <w:rsid w:val="007379A8"/>
    <w:rsid w:val="00742727"/>
    <w:rsid w:val="0074314B"/>
    <w:rsid w:val="007465F1"/>
    <w:rsid w:val="0075501B"/>
    <w:rsid w:val="00763133"/>
    <w:rsid w:val="00770A33"/>
    <w:rsid w:val="00774260"/>
    <w:rsid w:val="00776199"/>
    <w:rsid w:val="00783367"/>
    <w:rsid w:val="00787E50"/>
    <w:rsid w:val="007905F1"/>
    <w:rsid w:val="007911D9"/>
    <w:rsid w:val="007A13E2"/>
    <w:rsid w:val="007A2E12"/>
    <w:rsid w:val="007A2E76"/>
    <w:rsid w:val="007A3947"/>
    <w:rsid w:val="007B02B9"/>
    <w:rsid w:val="007B043A"/>
    <w:rsid w:val="007B2C11"/>
    <w:rsid w:val="007B37BA"/>
    <w:rsid w:val="007C0A1B"/>
    <w:rsid w:val="007C2765"/>
    <w:rsid w:val="007C36F7"/>
    <w:rsid w:val="007C37F1"/>
    <w:rsid w:val="007C5B1E"/>
    <w:rsid w:val="007C5EDA"/>
    <w:rsid w:val="007C7ECE"/>
    <w:rsid w:val="007D274C"/>
    <w:rsid w:val="007D6842"/>
    <w:rsid w:val="007E4157"/>
    <w:rsid w:val="007F176B"/>
    <w:rsid w:val="007F1D6D"/>
    <w:rsid w:val="007F1DB7"/>
    <w:rsid w:val="007F2AA8"/>
    <w:rsid w:val="007F3C28"/>
    <w:rsid w:val="007F5A59"/>
    <w:rsid w:val="007F6F02"/>
    <w:rsid w:val="007F7292"/>
    <w:rsid w:val="00800A58"/>
    <w:rsid w:val="008052BD"/>
    <w:rsid w:val="00810A43"/>
    <w:rsid w:val="008335E9"/>
    <w:rsid w:val="00847310"/>
    <w:rsid w:val="008547FE"/>
    <w:rsid w:val="00867379"/>
    <w:rsid w:val="00867D64"/>
    <w:rsid w:val="00870CB1"/>
    <w:rsid w:val="008711A4"/>
    <w:rsid w:val="00871835"/>
    <w:rsid w:val="0087592C"/>
    <w:rsid w:val="0087599E"/>
    <w:rsid w:val="00887B46"/>
    <w:rsid w:val="00892621"/>
    <w:rsid w:val="00893905"/>
    <w:rsid w:val="0089656C"/>
    <w:rsid w:val="008A13E4"/>
    <w:rsid w:val="008A2AD5"/>
    <w:rsid w:val="008A6843"/>
    <w:rsid w:val="008B1271"/>
    <w:rsid w:val="008B3157"/>
    <w:rsid w:val="008B5A53"/>
    <w:rsid w:val="008C5224"/>
    <w:rsid w:val="008C5D01"/>
    <w:rsid w:val="008D2972"/>
    <w:rsid w:val="008D3043"/>
    <w:rsid w:val="008D39E3"/>
    <w:rsid w:val="008D6623"/>
    <w:rsid w:val="008E0228"/>
    <w:rsid w:val="008E3306"/>
    <w:rsid w:val="008E4E42"/>
    <w:rsid w:val="008F0A13"/>
    <w:rsid w:val="008F1665"/>
    <w:rsid w:val="008F23AC"/>
    <w:rsid w:val="008F4B6B"/>
    <w:rsid w:val="008F6A1C"/>
    <w:rsid w:val="008F7B1B"/>
    <w:rsid w:val="0090034F"/>
    <w:rsid w:val="0090124C"/>
    <w:rsid w:val="00905771"/>
    <w:rsid w:val="00916CE7"/>
    <w:rsid w:val="00923859"/>
    <w:rsid w:val="00927234"/>
    <w:rsid w:val="00931741"/>
    <w:rsid w:val="009336F6"/>
    <w:rsid w:val="009370D6"/>
    <w:rsid w:val="009453D3"/>
    <w:rsid w:val="009466DA"/>
    <w:rsid w:val="00952EF8"/>
    <w:rsid w:val="00953C9A"/>
    <w:rsid w:val="00954E35"/>
    <w:rsid w:val="009619BF"/>
    <w:rsid w:val="00961BB4"/>
    <w:rsid w:val="00965795"/>
    <w:rsid w:val="00970648"/>
    <w:rsid w:val="009778A2"/>
    <w:rsid w:val="00986471"/>
    <w:rsid w:val="0098763F"/>
    <w:rsid w:val="0099049D"/>
    <w:rsid w:val="0099094C"/>
    <w:rsid w:val="00992664"/>
    <w:rsid w:val="009956FD"/>
    <w:rsid w:val="00997F92"/>
    <w:rsid w:val="009A6CE4"/>
    <w:rsid w:val="009A7AA8"/>
    <w:rsid w:val="009B2F59"/>
    <w:rsid w:val="009B35B6"/>
    <w:rsid w:val="009C0101"/>
    <w:rsid w:val="009C1691"/>
    <w:rsid w:val="009C3FE3"/>
    <w:rsid w:val="009E066A"/>
    <w:rsid w:val="009F32F2"/>
    <w:rsid w:val="00A03572"/>
    <w:rsid w:val="00A04BA1"/>
    <w:rsid w:val="00A07CB7"/>
    <w:rsid w:val="00A14F62"/>
    <w:rsid w:val="00A20634"/>
    <w:rsid w:val="00A23A11"/>
    <w:rsid w:val="00A23B08"/>
    <w:rsid w:val="00A30613"/>
    <w:rsid w:val="00A330B0"/>
    <w:rsid w:val="00A33671"/>
    <w:rsid w:val="00A346AB"/>
    <w:rsid w:val="00A35CDD"/>
    <w:rsid w:val="00A43B12"/>
    <w:rsid w:val="00A44B0B"/>
    <w:rsid w:val="00A50F41"/>
    <w:rsid w:val="00A52364"/>
    <w:rsid w:val="00A52B9C"/>
    <w:rsid w:val="00A56FC2"/>
    <w:rsid w:val="00A57599"/>
    <w:rsid w:val="00A57C60"/>
    <w:rsid w:val="00A64D24"/>
    <w:rsid w:val="00A65D66"/>
    <w:rsid w:val="00A735C4"/>
    <w:rsid w:val="00A74007"/>
    <w:rsid w:val="00A77D52"/>
    <w:rsid w:val="00A811B1"/>
    <w:rsid w:val="00A8728D"/>
    <w:rsid w:val="00A91B2D"/>
    <w:rsid w:val="00AA064E"/>
    <w:rsid w:val="00AA4A61"/>
    <w:rsid w:val="00AB2436"/>
    <w:rsid w:val="00AB3B1B"/>
    <w:rsid w:val="00AB4B72"/>
    <w:rsid w:val="00AB783F"/>
    <w:rsid w:val="00AD2613"/>
    <w:rsid w:val="00AD4BC9"/>
    <w:rsid w:val="00AE1B64"/>
    <w:rsid w:val="00AE3280"/>
    <w:rsid w:val="00AE4A9C"/>
    <w:rsid w:val="00AF26E3"/>
    <w:rsid w:val="00AF6BD5"/>
    <w:rsid w:val="00B024B5"/>
    <w:rsid w:val="00B031D1"/>
    <w:rsid w:val="00B0399E"/>
    <w:rsid w:val="00B046BC"/>
    <w:rsid w:val="00B04941"/>
    <w:rsid w:val="00B052BC"/>
    <w:rsid w:val="00B05691"/>
    <w:rsid w:val="00B10DED"/>
    <w:rsid w:val="00B13932"/>
    <w:rsid w:val="00B1697B"/>
    <w:rsid w:val="00B23DD6"/>
    <w:rsid w:val="00B407CC"/>
    <w:rsid w:val="00B41286"/>
    <w:rsid w:val="00B44B6E"/>
    <w:rsid w:val="00B45759"/>
    <w:rsid w:val="00B4628F"/>
    <w:rsid w:val="00B53285"/>
    <w:rsid w:val="00B628D9"/>
    <w:rsid w:val="00B64101"/>
    <w:rsid w:val="00B64D9D"/>
    <w:rsid w:val="00B66799"/>
    <w:rsid w:val="00B76E42"/>
    <w:rsid w:val="00B829EE"/>
    <w:rsid w:val="00B84803"/>
    <w:rsid w:val="00B868CD"/>
    <w:rsid w:val="00B9272C"/>
    <w:rsid w:val="00B97134"/>
    <w:rsid w:val="00BA07C6"/>
    <w:rsid w:val="00BA24A3"/>
    <w:rsid w:val="00BA3CF1"/>
    <w:rsid w:val="00BA4490"/>
    <w:rsid w:val="00BA5213"/>
    <w:rsid w:val="00BA559B"/>
    <w:rsid w:val="00BB05F8"/>
    <w:rsid w:val="00BB4F2D"/>
    <w:rsid w:val="00BB5DA7"/>
    <w:rsid w:val="00BB6B15"/>
    <w:rsid w:val="00BB6BFD"/>
    <w:rsid w:val="00BC0343"/>
    <w:rsid w:val="00BC1DE3"/>
    <w:rsid w:val="00BC4C2E"/>
    <w:rsid w:val="00BC521C"/>
    <w:rsid w:val="00BE08A0"/>
    <w:rsid w:val="00BE1656"/>
    <w:rsid w:val="00BE75D7"/>
    <w:rsid w:val="00BF5D37"/>
    <w:rsid w:val="00C02029"/>
    <w:rsid w:val="00C055EB"/>
    <w:rsid w:val="00C079A4"/>
    <w:rsid w:val="00C12193"/>
    <w:rsid w:val="00C2022A"/>
    <w:rsid w:val="00C24308"/>
    <w:rsid w:val="00C26417"/>
    <w:rsid w:val="00C26492"/>
    <w:rsid w:val="00C300FE"/>
    <w:rsid w:val="00C31FAA"/>
    <w:rsid w:val="00C34388"/>
    <w:rsid w:val="00C36218"/>
    <w:rsid w:val="00C36EC2"/>
    <w:rsid w:val="00C456B0"/>
    <w:rsid w:val="00C46C64"/>
    <w:rsid w:val="00C47148"/>
    <w:rsid w:val="00C529DA"/>
    <w:rsid w:val="00C5705B"/>
    <w:rsid w:val="00C61F54"/>
    <w:rsid w:val="00C63D9B"/>
    <w:rsid w:val="00C6454A"/>
    <w:rsid w:val="00C6773D"/>
    <w:rsid w:val="00C7010A"/>
    <w:rsid w:val="00C71F60"/>
    <w:rsid w:val="00C82178"/>
    <w:rsid w:val="00C8518E"/>
    <w:rsid w:val="00C92C20"/>
    <w:rsid w:val="00C93FF0"/>
    <w:rsid w:val="00C97491"/>
    <w:rsid w:val="00C979B5"/>
    <w:rsid w:val="00CA2F26"/>
    <w:rsid w:val="00CA3AC9"/>
    <w:rsid w:val="00CA69C7"/>
    <w:rsid w:val="00CB16E5"/>
    <w:rsid w:val="00CB490E"/>
    <w:rsid w:val="00CC4F73"/>
    <w:rsid w:val="00CC53FE"/>
    <w:rsid w:val="00CC6E2E"/>
    <w:rsid w:val="00CC6F3D"/>
    <w:rsid w:val="00CD2537"/>
    <w:rsid w:val="00CD7524"/>
    <w:rsid w:val="00CF02D8"/>
    <w:rsid w:val="00CF193A"/>
    <w:rsid w:val="00CF310C"/>
    <w:rsid w:val="00CF52E5"/>
    <w:rsid w:val="00D0029D"/>
    <w:rsid w:val="00D00A2A"/>
    <w:rsid w:val="00D03694"/>
    <w:rsid w:val="00D05C70"/>
    <w:rsid w:val="00D05DC3"/>
    <w:rsid w:val="00D11889"/>
    <w:rsid w:val="00D15DA9"/>
    <w:rsid w:val="00D1754F"/>
    <w:rsid w:val="00D22882"/>
    <w:rsid w:val="00D22B13"/>
    <w:rsid w:val="00D24837"/>
    <w:rsid w:val="00D25503"/>
    <w:rsid w:val="00D33B80"/>
    <w:rsid w:val="00D34294"/>
    <w:rsid w:val="00D4584C"/>
    <w:rsid w:val="00D464C3"/>
    <w:rsid w:val="00D509E2"/>
    <w:rsid w:val="00D50D03"/>
    <w:rsid w:val="00D51D79"/>
    <w:rsid w:val="00D65D06"/>
    <w:rsid w:val="00D67864"/>
    <w:rsid w:val="00D73C91"/>
    <w:rsid w:val="00D85AE6"/>
    <w:rsid w:val="00D86B92"/>
    <w:rsid w:val="00D915F7"/>
    <w:rsid w:val="00D92535"/>
    <w:rsid w:val="00DA003E"/>
    <w:rsid w:val="00DA18D0"/>
    <w:rsid w:val="00DA29F1"/>
    <w:rsid w:val="00DB5286"/>
    <w:rsid w:val="00DB65F2"/>
    <w:rsid w:val="00DC3045"/>
    <w:rsid w:val="00DC68D4"/>
    <w:rsid w:val="00DC698F"/>
    <w:rsid w:val="00DD05BD"/>
    <w:rsid w:val="00DD1166"/>
    <w:rsid w:val="00DE007F"/>
    <w:rsid w:val="00DE2711"/>
    <w:rsid w:val="00DE2828"/>
    <w:rsid w:val="00DE702D"/>
    <w:rsid w:val="00E01908"/>
    <w:rsid w:val="00E04956"/>
    <w:rsid w:val="00E0793F"/>
    <w:rsid w:val="00E21549"/>
    <w:rsid w:val="00E24DA6"/>
    <w:rsid w:val="00E2766F"/>
    <w:rsid w:val="00E35CC4"/>
    <w:rsid w:val="00E36A00"/>
    <w:rsid w:val="00E42E68"/>
    <w:rsid w:val="00E44DD4"/>
    <w:rsid w:val="00E479EF"/>
    <w:rsid w:val="00E47B85"/>
    <w:rsid w:val="00E53097"/>
    <w:rsid w:val="00E536E7"/>
    <w:rsid w:val="00E54142"/>
    <w:rsid w:val="00E5494E"/>
    <w:rsid w:val="00E5716E"/>
    <w:rsid w:val="00E61B7F"/>
    <w:rsid w:val="00E61DB5"/>
    <w:rsid w:val="00E66243"/>
    <w:rsid w:val="00E67744"/>
    <w:rsid w:val="00E71360"/>
    <w:rsid w:val="00E72039"/>
    <w:rsid w:val="00E7468E"/>
    <w:rsid w:val="00E76CE0"/>
    <w:rsid w:val="00E77E0B"/>
    <w:rsid w:val="00E81D17"/>
    <w:rsid w:val="00E90303"/>
    <w:rsid w:val="00E93A3C"/>
    <w:rsid w:val="00E94534"/>
    <w:rsid w:val="00E97F39"/>
    <w:rsid w:val="00EB2D31"/>
    <w:rsid w:val="00EB4A15"/>
    <w:rsid w:val="00EB7941"/>
    <w:rsid w:val="00EC1A0C"/>
    <w:rsid w:val="00EC26A5"/>
    <w:rsid w:val="00EC4251"/>
    <w:rsid w:val="00ED2B62"/>
    <w:rsid w:val="00ED3574"/>
    <w:rsid w:val="00EE04E9"/>
    <w:rsid w:val="00EE0A0D"/>
    <w:rsid w:val="00EE14C2"/>
    <w:rsid w:val="00EE56AD"/>
    <w:rsid w:val="00EE5E00"/>
    <w:rsid w:val="00EE7869"/>
    <w:rsid w:val="00F01973"/>
    <w:rsid w:val="00F056E2"/>
    <w:rsid w:val="00F06CA2"/>
    <w:rsid w:val="00F07A35"/>
    <w:rsid w:val="00F10F18"/>
    <w:rsid w:val="00F14540"/>
    <w:rsid w:val="00F2165E"/>
    <w:rsid w:val="00F23C39"/>
    <w:rsid w:val="00F257A2"/>
    <w:rsid w:val="00F27018"/>
    <w:rsid w:val="00F3113D"/>
    <w:rsid w:val="00F44110"/>
    <w:rsid w:val="00F47E16"/>
    <w:rsid w:val="00F53808"/>
    <w:rsid w:val="00F546F3"/>
    <w:rsid w:val="00F67357"/>
    <w:rsid w:val="00F7359B"/>
    <w:rsid w:val="00F74582"/>
    <w:rsid w:val="00F768C4"/>
    <w:rsid w:val="00F82CFA"/>
    <w:rsid w:val="00F83425"/>
    <w:rsid w:val="00F86DA4"/>
    <w:rsid w:val="00F8732A"/>
    <w:rsid w:val="00F95483"/>
    <w:rsid w:val="00F9560A"/>
    <w:rsid w:val="00F9742A"/>
    <w:rsid w:val="00FA3046"/>
    <w:rsid w:val="00FA726B"/>
    <w:rsid w:val="00FB0344"/>
    <w:rsid w:val="00FB1E9F"/>
    <w:rsid w:val="00FB2E18"/>
    <w:rsid w:val="00FB4CEB"/>
    <w:rsid w:val="00FB70B8"/>
    <w:rsid w:val="00FC05CC"/>
    <w:rsid w:val="00FC30C7"/>
    <w:rsid w:val="00FC33F0"/>
    <w:rsid w:val="00FC3A58"/>
    <w:rsid w:val="00FD2A06"/>
    <w:rsid w:val="00FD2A33"/>
    <w:rsid w:val="00FD5384"/>
    <w:rsid w:val="00FE090F"/>
    <w:rsid w:val="00FF4CEE"/>
    <w:rsid w:val="00FF524E"/>
    <w:rsid w:val="00FF668C"/>
    <w:rsid w:val="00FF67CE"/>
    <w:rsid w:val="00FF67F1"/>
    <w:rsid w:val="0585704C"/>
    <w:rsid w:val="08311E60"/>
    <w:rsid w:val="143040B0"/>
    <w:rsid w:val="1B770817"/>
    <w:rsid w:val="1CBA04A5"/>
    <w:rsid w:val="1D133C2A"/>
    <w:rsid w:val="23F0603B"/>
    <w:rsid w:val="2E883DC0"/>
    <w:rsid w:val="33EC2E63"/>
    <w:rsid w:val="384635F3"/>
    <w:rsid w:val="3885411B"/>
    <w:rsid w:val="394159CA"/>
    <w:rsid w:val="44755918"/>
    <w:rsid w:val="4734568A"/>
    <w:rsid w:val="4AA921AA"/>
    <w:rsid w:val="4CEC10F7"/>
    <w:rsid w:val="4E465C8B"/>
    <w:rsid w:val="5AFF37D6"/>
    <w:rsid w:val="5EF552A7"/>
    <w:rsid w:val="68865E47"/>
    <w:rsid w:val="6AB0719E"/>
    <w:rsid w:val="6B6FFB50"/>
    <w:rsid w:val="6EAC6718"/>
    <w:rsid w:val="73010267"/>
    <w:rsid w:val="775A5700"/>
    <w:rsid w:val="77B1D7F5"/>
    <w:rsid w:val="78E2258B"/>
    <w:rsid w:val="792A1B99"/>
    <w:rsid w:val="79AE4579"/>
    <w:rsid w:val="7A8737C2"/>
    <w:rsid w:val="7E6F3626"/>
    <w:rsid w:val="7FF9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B1048"/>
  <w15:docId w15:val="{2F8B8814-9755-40C6-B633-59E2FFE5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郭枫</dc:creator>
  <cp:lastModifiedBy>王宇</cp:lastModifiedBy>
  <cp:revision>28</cp:revision>
  <dcterms:created xsi:type="dcterms:W3CDTF">2023-06-09T11:16:00Z</dcterms:created>
  <dcterms:modified xsi:type="dcterms:W3CDTF">2025-11-26T01:36:00Z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DC124F7F393F4794AE21D1248B55614D_13</vt:lpwstr>
  </property>
  <property fmtid="{D5CDD505-2E9C-101B-9397-08002B2CF9AE}" pid="4" name="KSOTemplateDocerSaveRecord">
    <vt:lpwstr>eyJoZGlkIjoiYzE2ZGVmZjA3MGU2OGRjNjY3NWM0ZmY4MzhmY2I4N2YifQ==</vt:lpwstr>
  </property>
</Properties>
</file>