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CD9AE">
      <w:pPr>
        <w:rPr>
          <w:rFonts w:asciiTheme="minorEastAsia" w:hAnsiTheme="minorEastAsia"/>
          <w:b/>
        </w:rPr>
      </w:pPr>
      <w:r>
        <w:rPr>
          <w:rFonts w:hint="eastAsia" w:asciiTheme="minorEastAsia" w:hAnsiTheme="minorEastAsia"/>
          <w:b/>
        </w:rPr>
        <w:t>证券代码：605580                                             证券简称：恒盛能源</w:t>
      </w:r>
    </w:p>
    <w:p w14:paraId="3D2C8A1E">
      <w:pPr>
        <w:jc w:val="center"/>
        <w:rPr>
          <w:rFonts w:asciiTheme="minorEastAsia" w:hAnsiTheme="minorEastAsia"/>
          <w:b/>
          <w:sz w:val="36"/>
          <w:szCs w:val="36"/>
        </w:rPr>
      </w:pPr>
    </w:p>
    <w:p w14:paraId="008F2B1C">
      <w:pPr>
        <w:jc w:val="center"/>
        <w:rPr>
          <w:rFonts w:asciiTheme="minorEastAsia" w:hAnsiTheme="minorEastAsia"/>
          <w:b/>
          <w:sz w:val="36"/>
          <w:szCs w:val="36"/>
        </w:rPr>
      </w:pPr>
      <w:r>
        <w:rPr>
          <w:rFonts w:hint="eastAsia" w:asciiTheme="minorEastAsia" w:hAnsiTheme="minorEastAsia"/>
          <w:b/>
          <w:sz w:val="36"/>
          <w:szCs w:val="36"/>
        </w:rPr>
        <w:t>恒盛能源股份有限公司投资者关系活动记录表</w:t>
      </w:r>
    </w:p>
    <w:p w14:paraId="3680B64C">
      <w:pPr>
        <w:jc w:val="center"/>
        <w:rPr>
          <w:rFonts w:asciiTheme="minorEastAsia" w:hAnsiTheme="minorEastAsia"/>
          <w:b/>
          <w:sz w:val="36"/>
          <w:szCs w:val="36"/>
        </w:rPr>
      </w:pPr>
    </w:p>
    <w:p w14:paraId="5E2B2711">
      <w:pPr>
        <w:spacing w:before="156" w:beforeLines="50" w:after="156" w:afterLines="50"/>
        <w:jc w:val="right"/>
        <w:rPr>
          <w:rFonts w:asciiTheme="minorEastAsia" w:hAnsiTheme="minorEastAsia"/>
          <w:sz w:val="24"/>
          <w:szCs w:val="24"/>
        </w:rPr>
      </w:pPr>
      <w:r>
        <w:rPr>
          <w:rFonts w:hint="eastAsia" w:asciiTheme="minorEastAsia" w:hAnsiTheme="minorEastAsia"/>
          <w:sz w:val="24"/>
          <w:szCs w:val="24"/>
        </w:rPr>
        <w:t>编号:202</w:t>
      </w:r>
      <w:r>
        <w:rPr>
          <w:rFonts w:hint="default" w:asciiTheme="minorEastAsia" w:hAnsiTheme="minorEastAsia"/>
          <w:sz w:val="24"/>
          <w:szCs w:val="24"/>
          <w:lang w:val="en-US"/>
        </w:rPr>
        <w:t>5</w:t>
      </w:r>
      <w:r>
        <w:rPr>
          <w:rFonts w:hint="eastAsia" w:asciiTheme="minorEastAsia" w:hAnsiTheme="minorEastAsia"/>
          <w:sz w:val="24"/>
          <w:szCs w:val="24"/>
        </w:rPr>
        <w:t>-00</w:t>
      </w:r>
      <w:r>
        <w:rPr>
          <w:rFonts w:hint="default" w:asciiTheme="minorEastAsia" w:hAnsiTheme="minorEastAsia"/>
          <w:sz w:val="24"/>
          <w:szCs w:val="24"/>
          <w:lang w:val="en-US"/>
        </w:rPr>
        <w:t>2</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3"/>
        <w:gridCol w:w="6049"/>
      </w:tblGrid>
      <w:tr w14:paraId="6A82F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vAlign w:val="center"/>
          </w:tcPr>
          <w:p w14:paraId="16A36612">
            <w:pPr>
              <w:jc w:val="center"/>
              <w:rPr>
                <w:rFonts w:asciiTheme="minorEastAsia" w:hAnsiTheme="minorEastAsia"/>
                <w:b/>
                <w:sz w:val="24"/>
                <w:szCs w:val="24"/>
              </w:rPr>
            </w:pPr>
            <w:r>
              <w:rPr>
                <w:rFonts w:hint="eastAsia" w:asciiTheme="minorEastAsia" w:hAnsiTheme="minorEastAsia"/>
                <w:b/>
                <w:sz w:val="24"/>
                <w:szCs w:val="24"/>
              </w:rPr>
              <w:t>投资者关系活动类别</w:t>
            </w:r>
          </w:p>
        </w:tc>
        <w:tc>
          <w:tcPr>
            <w:tcW w:w="6049" w:type="dxa"/>
          </w:tcPr>
          <w:p w14:paraId="334C1941">
            <w:pPr>
              <w:spacing w:line="360" w:lineRule="auto"/>
              <w:jc w:val="left"/>
              <w:rPr>
                <w:rFonts w:asciiTheme="minorEastAsia" w:hAnsiTheme="minorEastAsia"/>
                <w:sz w:val="24"/>
                <w:szCs w:val="24"/>
              </w:rPr>
            </w:pPr>
            <w:r>
              <w:rPr>
                <w:rFonts w:hint="eastAsia" w:asciiTheme="minorEastAsia" w:hAnsiTheme="minorEastAsia"/>
                <w:sz w:val="24"/>
                <w:szCs w:val="24"/>
              </w:rPr>
              <w:sym w:font="Wingdings 2" w:char="0052"/>
            </w:r>
            <w:r>
              <w:rPr>
                <w:rFonts w:hint="eastAsia" w:asciiTheme="minorEastAsia" w:hAnsiTheme="minorEastAsia"/>
                <w:sz w:val="24"/>
                <w:szCs w:val="24"/>
              </w:rPr>
              <w:t>特定对象调研</w:t>
            </w:r>
            <w:r>
              <w:rPr>
                <w:rFonts w:asciiTheme="minorEastAsia" w:hAnsiTheme="minorEastAsia"/>
                <w:sz w:val="24"/>
                <w:szCs w:val="24"/>
              </w:rPr>
              <w:t xml:space="preserve">  </w:t>
            </w:r>
            <w:r>
              <w:rPr>
                <w:rFonts w:hint="eastAsia" w:asciiTheme="minorEastAsia" w:hAnsiTheme="minorEastAsia"/>
                <w:sz w:val="24"/>
                <w:szCs w:val="24"/>
                <w:lang w:val="en-US" w:eastAsia="zh-CN"/>
              </w:rPr>
              <w:t>□</w:t>
            </w:r>
            <w:r>
              <w:rPr>
                <w:rFonts w:hint="eastAsia" w:asciiTheme="minorEastAsia" w:hAnsiTheme="minorEastAsia"/>
                <w:sz w:val="24"/>
                <w:szCs w:val="24"/>
              </w:rPr>
              <w:t>分析师会议</w:t>
            </w:r>
          </w:p>
          <w:p w14:paraId="05337B3D">
            <w:pPr>
              <w:spacing w:line="360" w:lineRule="auto"/>
              <w:jc w:val="left"/>
              <w:rPr>
                <w:rFonts w:asciiTheme="minorEastAsia" w:hAnsiTheme="minorEastAsia"/>
                <w:sz w:val="24"/>
                <w:szCs w:val="24"/>
              </w:rPr>
            </w:pPr>
            <w:r>
              <w:rPr>
                <w:rFonts w:hint="default" w:asciiTheme="minorEastAsia" w:hAnsiTheme="minorEastAsia"/>
                <w:sz w:val="24"/>
                <w:szCs w:val="24"/>
                <w:lang w:val="en-US" w:eastAsia="zh-CN"/>
              </w:rPr>
              <w:t>□</w:t>
            </w:r>
            <w:r>
              <w:rPr>
                <w:rFonts w:hint="eastAsia" w:asciiTheme="minorEastAsia" w:hAnsiTheme="minorEastAsia"/>
                <w:sz w:val="24"/>
                <w:szCs w:val="24"/>
              </w:rPr>
              <w:t>媒体采访        □业绩说明会</w:t>
            </w:r>
          </w:p>
          <w:p w14:paraId="13708B73">
            <w:pPr>
              <w:spacing w:line="360" w:lineRule="auto"/>
              <w:jc w:val="left"/>
              <w:rPr>
                <w:rFonts w:asciiTheme="minorEastAsia" w:hAnsiTheme="minorEastAsia"/>
                <w:sz w:val="24"/>
                <w:szCs w:val="24"/>
              </w:rPr>
            </w:pPr>
            <w:r>
              <w:rPr>
                <w:rFonts w:hint="eastAsia" w:asciiTheme="minorEastAsia" w:hAnsiTheme="minorEastAsia"/>
                <w:sz w:val="24"/>
                <w:szCs w:val="24"/>
              </w:rPr>
              <w:t>□新闻发布会      □路演活动</w:t>
            </w:r>
          </w:p>
          <w:p w14:paraId="2ECFCAA5">
            <w:pPr>
              <w:spacing w:line="360" w:lineRule="auto"/>
              <w:jc w:val="left"/>
              <w:rPr>
                <w:rFonts w:asciiTheme="minorEastAsia" w:hAnsiTheme="minorEastAsia"/>
                <w:sz w:val="24"/>
                <w:szCs w:val="24"/>
              </w:rPr>
            </w:pPr>
            <w:r>
              <w:rPr>
                <w:rFonts w:hint="eastAsia" w:asciiTheme="minorEastAsia" w:hAnsiTheme="minorEastAsia"/>
                <w:sz w:val="24"/>
                <w:szCs w:val="24"/>
              </w:rPr>
              <w:sym w:font="Wingdings 2" w:char="F052"/>
            </w:r>
            <w:r>
              <w:rPr>
                <w:rFonts w:hint="eastAsia" w:asciiTheme="minorEastAsia" w:hAnsiTheme="minorEastAsia"/>
                <w:sz w:val="24"/>
                <w:szCs w:val="24"/>
              </w:rPr>
              <w:t>现场参观</w:t>
            </w:r>
            <w:r>
              <w:rPr>
                <w:rFonts w:asciiTheme="minorEastAsia" w:hAnsiTheme="minorEastAsia"/>
                <w:sz w:val="24"/>
                <w:szCs w:val="24"/>
              </w:rPr>
              <w:t xml:space="preserve">  </w:t>
            </w:r>
            <w:r>
              <w:rPr>
                <w:rFonts w:hint="eastAsia" w:asciiTheme="minorEastAsia" w:hAnsiTheme="minorEastAsia"/>
                <w:sz w:val="24"/>
                <w:szCs w:val="24"/>
              </w:rPr>
              <w:t xml:space="preserve">    □电话会议</w:t>
            </w:r>
          </w:p>
          <w:p w14:paraId="57D664DC">
            <w:pPr>
              <w:spacing w:line="360" w:lineRule="auto"/>
              <w:jc w:val="left"/>
              <w:rPr>
                <w:rFonts w:asciiTheme="minorEastAsia" w:hAnsiTheme="minorEastAsia"/>
                <w:sz w:val="24"/>
                <w:szCs w:val="24"/>
              </w:rPr>
            </w:pPr>
            <w:r>
              <w:rPr>
                <w:rFonts w:hint="eastAsia" w:asciiTheme="minorEastAsia" w:hAnsiTheme="minorEastAsia"/>
                <w:sz w:val="24"/>
                <w:szCs w:val="24"/>
              </w:rPr>
              <w:t>□其他</w:t>
            </w:r>
          </w:p>
        </w:tc>
      </w:tr>
      <w:tr w14:paraId="27999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vAlign w:val="center"/>
          </w:tcPr>
          <w:p w14:paraId="26BA1D9E">
            <w:pPr>
              <w:jc w:val="center"/>
              <w:rPr>
                <w:rFonts w:asciiTheme="minorEastAsia" w:hAnsiTheme="minorEastAsia"/>
                <w:b/>
                <w:sz w:val="24"/>
                <w:szCs w:val="24"/>
              </w:rPr>
            </w:pPr>
            <w:r>
              <w:rPr>
                <w:rFonts w:hint="eastAsia" w:asciiTheme="minorEastAsia" w:hAnsiTheme="minorEastAsia"/>
                <w:b/>
                <w:sz w:val="24"/>
                <w:szCs w:val="24"/>
              </w:rPr>
              <w:t>参与单位名称</w:t>
            </w:r>
          </w:p>
        </w:tc>
        <w:tc>
          <w:tcPr>
            <w:tcW w:w="6049" w:type="dxa"/>
          </w:tcPr>
          <w:p w14:paraId="00700EFF">
            <w:pPr>
              <w:spacing w:line="360" w:lineRule="auto"/>
              <w:jc w:val="left"/>
              <w:rPr>
                <w:rFonts w:asciiTheme="minorEastAsia" w:hAnsiTheme="minorEastAsia"/>
                <w:sz w:val="24"/>
                <w:szCs w:val="24"/>
              </w:rPr>
            </w:pPr>
            <w:r>
              <w:rPr>
                <w:rFonts w:hint="eastAsia" w:asciiTheme="minorEastAsia" w:hAnsiTheme="minorEastAsia"/>
                <w:sz w:val="24"/>
                <w:szCs w:val="24"/>
                <w:highlight w:val="none"/>
              </w:rPr>
              <w:t>华创</w:t>
            </w:r>
            <w:r>
              <w:rPr>
                <w:rFonts w:hint="eastAsia" w:asciiTheme="minorEastAsia" w:hAnsiTheme="minorEastAsia"/>
                <w:sz w:val="24"/>
                <w:szCs w:val="24"/>
                <w:highlight w:val="none"/>
                <w:lang w:val="en-US" w:eastAsia="zh-CN"/>
              </w:rPr>
              <w:t>证券</w:t>
            </w:r>
            <w:r>
              <w:rPr>
                <w:rFonts w:hint="eastAsia" w:asciiTheme="minorEastAsia" w:hAnsiTheme="minorEastAsia"/>
                <w:sz w:val="24"/>
                <w:szCs w:val="24"/>
                <w:highlight w:val="none"/>
                <w:lang w:eastAsia="zh-CN"/>
              </w:rPr>
              <w:t>、</w:t>
            </w:r>
            <w:r>
              <w:rPr>
                <w:rFonts w:hint="eastAsia" w:asciiTheme="minorEastAsia" w:hAnsiTheme="minorEastAsia"/>
                <w:sz w:val="24"/>
                <w:szCs w:val="24"/>
                <w:highlight w:val="none"/>
              </w:rPr>
              <w:t>财通</w:t>
            </w:r>
            <w:r>
              <w:rPr>
                <w:rFonts w:hint="eastAsia" w:asciiTheme="minorEastAsia" w:hAnsiTheme="minorEastAsia"/>
                <w:sz w:val="24"/>
                <w:szCs w:val="24"/>
                <w:highlight w:val="none"/>
                <w:lang w:val="en-US" w:eastAsia="zh-CN"/>
              </w:rPr>
              <w:t>证券</w:t>
            </w:r>
            <w:r>
              <w:rPr>
                <w:rFonts w:hint="eastAsia" w:asciiTheme="minorEastAsia" w:hAnsiTheme="minorEastAsia"/>
                <w:sz w:val="24"/>
                <w:szCs w:val="24"/>
                <w:highlight w:val="none"/>
                <w:lang w:eastAsia="zh-CN"/>
              </w:rPr>
              <w:t>、</w:t>
            </w:r>
            <w:r>
              <w:rPr>
                <w:rFonts w:hint="eastAsia" w:asciiTheme="minorEastAsia" w:hAnsiTheme="minorEastAsia"/>
                <w:sz w:val="24"/>
                <w:szCs w:val="24"/>
                <w:highlight w:val="none"/>
              </w:rPr>
              <w:t>西南</w:t>
            </w:r>
            <w:r>
              <w:rPr>
                <w:rFonts w:hint="eastAsia" w:asciiTheme="minorEastAsia" w:hAnsiTheme="minorEastAsia"/>
                <w:sz w:val="24"/>
                <w:szCs w:val="24"/>
                <w:highlight w:val="none"/>
                <w:lang w:val="en-US" w:eastAsia="zh-CN"/>
              </w:rPr>
              <w:t>证券</w:t>
            </w:r>
            <w:r>
              <w:rPr>
                <w:rFonts w:hint="eastAsia" w:asciiTheme="minorEastAsia" w:hAnsiTheme="minorEastAsia"/>
                <w:sz w:val="24"/>
                <w:szCs w:val="24"/>
                <w:highlight w:val="none"/>
                <w:lang w:eastAsia="zh-CN"/>
              </w:rPr>
              <w:t>、</w:t>
            </w:r>
            <w:r>
              <w:rPr>
                <w:rFonts w:hint="eastAsia" w:asciiTheme="minorEastAsia" w:hAnsiTheme="minorEastAsia"/>
                <w:sz w:val="24"/>
                <w:szCs w:val="24"/>
                <w:highlight w:val="none"/>
              </w:rPr>
              <w:t>元泉资本</w:t>
            </w:r>
            <w:r>
              <w:rPr>
                <w:rFonts w:hint="eastAsia" w:asciiTheme="minorEastAsia" w:hAnsiTheme="minorEastAsia"/>
                <w:sz w:val="24"/>
                <w:szCs w:val="24"/>
                <w:highlight w:val="none"/>
                <w:lang w:eastAsia="zh-CN"/>
              </w:rPr>
              <w:t>、</w:t>
            </w:r>
            <w:r>
              <w:rPr>
                <w:rFonts w:hint="eastAsia" w:asciiTheme="minorEastAsia" w:hAnsiTheme="minorEastAsia"/>
                <w:sz w:val="24"/>
                <w:szCs w:val="24"/>
                <w:highlight w:val="none"/>
              </w:rPr>
              <w:t>有谱投资</w:t>
            </w:r>
            <w:r>
              <w:rPr>
                <w:rFonts w:hint="eastAsia" w:asciiTheme="minorEastAsia" w:hAnsiTheme="minorEastAsia"/>
                <w:sz w:val="24"/>
                <w:szCs w:val="24"/>
                <w:highlight w:val="none"/>
                <w:lang w:eastAsia="zh-CN"/>
              </w:rPr>
              <w:t>、</w:t>
            </w:r>
            <w:r>
              <w:rPr>
                <w:rFonts w:hint="eastAsia" w:asciiTheme="minorEastAsia" w:hAnsiTheme="minorEastAsia"/>
                <w:sz w:val="24"/>
                <w:szCs w:val="24"/>
                <w:highlight w:val="none"/>
              </w:rPr>
              <w:t xml:space="preserve"> 银河证券</w:t>
            </w:r>
            <w:r>
              <w:rPr>
                <w:rFonts w:hint="eastAsia" w:asciiTheme="minorEastAsia" w:hAnsiTheme="minorEastAsia"/>
                <w:sz w:val="24"/>
                <w:szCs w:val="24"/>
                <w:highlight w:val="none"/>
                <w:lang w:eastAsia="zh-CN"/>
              </w:rPr>
              <w:t>、</w:t>
            </w:r>
            <w:r>
              <w:rPr>
                <w:rFonts w:hint="eastAsia" w:asciiTheme="minorEastAsia" w:hAnsiTheme="minorEastAsia"/>
                <w:sz w:val="24"/>
                <w:szCs w:val="24"/>
                <w:highlight w:val="none"/>
              </w:rPr>
              <w:t>天风证券</w:t>
            </w:r>
            <w:r>
              <w:rPr>
                <w:rFonts w:hint="eastAsia" w:asciiTheme="minorEastAsia" w:hAnsiTheme="minorEastAsia"/>
                <w:sz w:val="24"/>
                <w:szCs w:val="24"/>
                <w:highlight w:val="none"/>
                <w:lang w:eastAsia="zh-CN"/>
              </w:rPr>
              <w:t>、</w:t>
            </w:r>
            <w:r>
              <w:rPr>
                <w:rFonts w:hint="eastAsia" w:asciiTheme="minorEastAsia" w:hAnsiTheme="minorEastAsia"/>
                <w:sz w:val="24"/>
                <w:szCs w:val="24"/>
                <w:highlight w:val="none"/>
              </w:rPr>
              <w:t>申万</w:t>
            </w:r>
            <w:r>
              <w:rPr>
                <w:rFonts w:hint="eastAsia" w:asciiTheme="minorEastAsia" w:hAnsiTheme="minorEastAsia"/>
                <w:sz w:val="24"/>
                <w:szCs w:val="24"/>
                <w:highlight w:val="none"/>
                <w:lang w:val="en-US" w:eastAsia="zh-CN"/>
              </w:rPr>
              <w:t>宏源证券</w:t>
            </w:r>
          </w:p>
        </w:tc>
      </w:tr>
      <w:tr w14:paraId="215F0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vAlign w:val="center"/>
          </w:tcPr>
          <w:p w14:paraId="20FE786E">
            <w:pPr>
              <w:jc w:val="center"/>
              <w:rPr>
                <w:rFonts w:asciiTheme="minorEastAsia" w:hAnsiTheme="minorEastAsia"/>
                <w:b/>
                <w:sz w:val="24"/>
                <w:szCs w:val="24"/>
              </w:rPr>
            </w:pPr>
            <w:r>
              <w:rPr>
                <w:rFonts w:hint="eastAsia" w:asciiTheme="minorEastAsia" w:hAnsiTheme="minorEastAsia"/>
                <w:b/>
                <w:sz w:val="24"/>
                <w:szCs w:val="24"/>
              </w:rPr>
              <w:t>会议时间</w:t>
            </w:r>
          </w:p>
        </w:tc>
        <w:tc>
          <w:tcPr>
            <w:tcW w:w="6049" w:type="dxa"/>
          </w:tcPr>
          <w:p w14:paraId="4CFA0CDA">
            <w:pPr>
              <w:spacing w:before="156" w:beforeLines="50" w:after="156" w:afterLines="50"/>
              <w:jc w:val="left"/>
              <w:rPr>
                <w:rFonts w:hint="default" w:asciiTheme="minorEastAsia" w:hAnsiTheme="minorEastAsia"/>
                <w:sz w:val="24"/>
                <w:szCs w:val="24"/>
                <w:lang w:val="en-US"/>
              </w:rPr>
            </w:pPr>
            <w:r>
              <w:rPr>
                <w:rFonts w:hint="eastAsia" w:asciiTheme="minorEastAsia" w:hAnsiTheme="minorEastAsia"/>
                <w:sz w:val="24"/>
                <w:szCs w:val="24"/>
                <w:highlight w:val="none"/>
                <w:lang w:val="en-US" w:eastAsia="zh-CN"/>
              </w:rPr>
              <w:t>2025年11月3日、11月12日、11月25日</w:t>
            </w:r>
          </w:p>
        </w:tc>
      </w:tr>
      <w:tr w14:paraId="3245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vAlign w:val="center"/>
          </w:tcPr>
          <w:p w14:paraId="623D834B">
            <w:pPr>
              <w:jc w:val="center"/>
              <w:rPr>
                <w:rFonts w:asciiTheme="minorEastAsia" w:hAnsiTheme="minorEastAsia"/>
                <w:b/>
                <w:sz w:val="24"/>
                <w:szCs w:val="24"/>
              </w:rPr>
            </w:pPr>
            <w:r>
              <w:rPr>
                <w:rFonts w:hint="eastAsia" w:asciiTheme="minorEastAsia" w:hAnsiTheme="minorEastAsia"/>
                <w:b/>
                <w:sz w:val="24"/>
                <w:szCs w:val="24"/>
              </w:rPr>
              <w:t>会议地点</w:t>
            </w:r>
          </w:p>
        </w:tc>
        <w:tc>
          <w:tcPr>
            <w:tcW w:w="6049" w:type="dxa"/>
          </w:tcPr>
          <w:p w14:paraId="6A797C04">
            <w:pPr>
              <w:spacing w:before="156" w:beforeLines="50" w:after="156" w:afterLines="50"/>
              <w:jc w:val="left"/>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浙江省龙游县永泰路6号浙江桦茂科技有限公司3楼会议室</w:t>
            </w:r>
          </w:p>
        </w:tc>
      </w:tr>
      <w:tr w14:paraId="0650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vAlign w:val="center"/>
          </w:tcPr>
          <w:p w14:paraId="3402BDF2">
            <w:pPr>
              <w:jc w:val="center"/>
              <w:rPr>
                <w:rFonts w:asciiTheme="minorEastAsia" w:hAnsiTheme="minorEastAsia"/>
                <w:b/>
                <w:sz w:val="24"/>
                <w:szCs w:val="24"/>
              </w:rPr>
            </w:pPr>
            <w:r>
              <w:rPr>
                <w:rFonts w:hint="eastAsia" w:asciiTheme="minorEastAsia" w:hAnsiTheme="minorEastAsia"/>
                <w:b/>
                <w:sz w:val="24"/>
                <w:szCs w:val="24"/>
              </w:rPr>
              <w:t>上市公司接待人员姓名</w:t>
            </w:r>
          </w:p>
        </w:tc>
        <w:tc>
          <w:tcPr>
            <w:tcW w:w="6049" w:type="dxa"/>
          </w:tcPr>
          <w:p w14:paraId="7AB7DD04">
            <w:pPr>
              <w:spacing w:line="360" w:lineRule="auto"/>
              <w:jc w:val="left"/>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董事长及董事会秘书（代行）余国旭、证券事务代表程雅民</w:t>
            </w:r>
          </w:p>
        </w:tc>
      </w:tr>
      <w:tr w14:paraId="6BF9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vAlign w:val="center"/>
          </w:tcPr>
          <w:p w14:paraId="79CEF949">
            <w:pPr>
              <w:jc w:val="center"/>
              <w:rPr>
                <w:rFonts w:asciiTheme="minorEastAsia" w:hAnsiTheme="minorEastAsia"/>
                <w:b/>
                <w:sz w:val="24"/>
                <w:szCs w:val="24"/>
              </w:rPr>
            </w:pPr>
            <w:r>
              <w:rPr>
                <w:rFonts w:hint="eastAsia" w:asciiTheme="minorEastAsia" w:hAnsiTheme="minorEastAsia"/>
                <w:b/>
                <w:sz w:val="24"/>
                <w:szCs w:val="24"/>
              </w:rPr>
              <w:t>投资者关系活动主要内容介绍</w:t>
            </w:r>
          </w:p>
        </w:tc>
        <w:tc>
          <w:tcPr>
            <w:tcW w:w="6049" w:type="dxa"/>
          </w:tcPr>
          <w:p w14:paraId="22F8B35D">
            <w:pPr>
              <w:spacing w:line="360" w:lineRule="auto"/>
              <w:ind w:firstLine="480" w:firstLineChars="200"/>
              <w:jc w:val="both"/>
              <w:rPr>
                <w:rFonts w:asciiTheme="minorEastAsia" w:hAnsiTheme="minorEastAsia"/>
                <w:sz w:val="24"/>
                <w:szCs w:val="24"/>
              </w:rPr>
            </w:pPr>
            <w:r>
              <w:rPr>
                <w:rFonts w:hint="eastAsia" w:asciiTheme="minorEastAsia" w:hAnsiTheme="minorEastAsia"/>
                <w:sz w:val="24"/>
                <w:szCs w:val="24"/>
              </w:rPr>
              <w:t>公司就投资者在本次活动中提出的主要问题进行了回复：</w:t>
            </w:r>
          </w:p>
          <w:p w14:paraId="2C5F1DEE">
            <w:pPr>
              <w:spacing w:line="360" w:lineRule="auto"/>
              <w:ind w:firstLine="482" w:firstLineChars="200"/>
              <w:jc w:val="left"/>
              <w:rPr>
                <w:rFonts w:asciiTheme="minorEastAsia" w:hAnsiTheme="minorEastAsia"/>
                <w:b/>
                <w:sz w:val="24"/>
                <w:szCs w:val="24"/>
              </w:rPr>
            </w:pPr>
            <w:r>
              <w:rPr>
                <w:rFonts w:hint="eastAsia" w:asciiTheme="minorEastAsia" w:hAnsiTheme="minorEastAsia"/>
                <w:b/>
                <w:sz w:val="24"/>
                <w:szCs w:val="24"/>
              </w:rPr>
              <w:t>1、公司</w:t>
            </w:r>
            <w:r>
              <w:rPr>
                <w:rFonts w:hint="eastAsia" w:asciiTheme="minorEastAsia" w:hAnsiTheme="minorEastAsia"/>
                <w:b/>
                <w:sz w:val="24"/>
                <w:szCs w:val="24"/>
                <w:lang w:val="en-US" w:eastAsia="zh-CN"/>
              </w:rPr>
              <w:t>为何切入CVD金刚石赛道</w:t>
            </w:r>
            <w:r>
              <w:rPr>
                <w:rFonts w:hint="eastAsia" w:asciiTheme="minorEastAsia" w:hAnsiTheme="minorEastAsia"/>
                <w:b/>
                <w:sz w:val="24"/>
                <w:szCs w:val="24"/>
              </w:rPr>
              <w:t>？</w:t>
            </w:r>
          </w:p>
          <w:p w14:paraId="058BC0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32"/>
                <w:lang w:eastAsia="zh-CN"/>
              </w:rPr>
            </w:pPr>
            <w:r>
              <w:rPr>
                <w:rFonts w:hint="eastAsia" w:ascii="宋体" w:hAnsi="宋体" w:eastAsia="宋体" w:cs="宋体"/>
                <w:sz w:val="24"/>
                <w:szCs w:val="32"/>
              </w:rPr>
              <w:t>公司2021年上市后，基于对自身业务发展的审慎研判，注意到传统热电联产业务受行业周期与市场</w:t>
            </w:r>
            <w:r>
              <w:rPr>
                <w:rFonts w:hint="eastAsia" w:ascii="宋体" w:hAnsi="宋体" w:eastAsia="宋体" w:cs="宋体"/>
                <w:sz w:val="24"/>
                <w:szCs w:val="32"/>
                <w:lang w:val="en-US" w:eastAsia="zh-CN"/>
              </w:rPr>
              <w:t>区域等</w:t>
            </w:r>
            <w:r>
              <w:rPr>
                <w:rFonts w:hint="eastAsia" w:ascii="宋体" w:hAnsi="宋体" w:eastAsia="宋体" w:cs="宋体"/>
                <w:sz w:val="24"/>
                <w:szCs w:val="32"/>
              </w:rPr>
              <w:t>影响。为突破业务发展瓶颈、培育新的利润增长点，公司管理层启动战略转型探索，在保持传统业务稳定的同时，积极寻找符合</w:t>
            </w:r>
            <w:r>
              <w:rPr>
                <w:rFonts w:hint="eastAsia" w:ascii="宋体" w:hAnsi="宋体" w:eastAsia="宋体" w:cs="宋体"/>
                <w:sz w:val="24"/>
                <w:szCs w:val="32"/>
                <w:lang w:val="en-US" w:eastAsia="zh-CN"/>
              </w:rPr>
              <w:t>未来新质生产力行业</w:t>
            </w:r>
            <w:r>
              <w:rPr>
                <w:rFonts w:hint="eastAsia" w:ascii="宋体" w:hAnsi="宋体" w:eastAsia="宋体" w:cs="宋体"/>
                <w:sz w:val="24"/>
                <w:szCs w:val="32"/>
              </w:rPr>
              <w:t>发展</w:t>
            </w:r>
            <w:r>
              <w:rPr>
                <w:rFonts w:hint="eastAsia" w:ascii="宋体" w:hAnsi="宋体" w:eastAsia="宋体" w:cs="宋体"/>
                <w:sz w:val="24"/>
                <w:szCs w:val="32"/>
                <w:lang w:val="en-US" w:eastAsia="zh-CN"/>
              </w:rPr>
              <w:t>方向</w:t>
            </w:r>
            <w:r>
              <w:rPr>
                <w:rFonts w:hint="eastAsia" w:ascii="宋体" w:hAnsi="宋体" w:eastAsia="宋体" w:cs="宋体"/>
                <w:sz w:val="24"/>
                <w:szCs w:val="32"/>
              </w:rPr>
              <w:t>且能</w:t>
            </w:r>
            <w:r>
              <w:rPr>
                <w:rFonts w:hint="eastAsia" w:ascii="宋体" w:hAnsi="宋体" w:eastAsia="宋体" w:cs="宋体"/>
                <w:sz w:val="24"/>
                <w:szCs w:val="32"/>
                <w:lang w:val="en-US" w:eastAsia="zh-CN"/>
              </w:rPr>
              <w:t>协同发展绿色新材料业务发展</w:t>
            </w:r>
            <w:r>
              <w:rPr>
                <w:rFonts w:hint="eastAsia" w:ascii="宋体" w:hAnsi="宋体" w:eastAsia="宋体" w:cs="宋体"/>
                <w:sz w:val="24"/>
                <w:szCs w:val="32"/>
              </w:rPr>
              <w:t>的新赛道</w:t>
            </w:r>
            <w:r>
              <w:rPr>
                <w:rFonts w:hint="eastAsia" w:ascii="宋体" w:hAnsi="宋体" w:eastAsia="宋体" w:cs="宋体"/>
                <w:sz w:val="24"/>
                <w:szCs w:val="32"/>
                <w:lang w:eastAsia="zh-CN"/>
              </w:rPr>
              <w:t>，</w:t>
            </w:r>
            <w:r>
              <w:rPr>
                <w:rFonts w:hint="eastAsia" w:ascii="宋体" w:hAnsi="宋体" w:eastAsia="宋体" w:cs="宋体"/>
                <w:sz w:val="24"/>
                <w:szCs w:val="32"/>
              </w:rPr>
              <w:t>经过多维度调研与论证，</w:t>
            </w:r>
            <w:r>
              <w:rPr>
                <w:rFonts w:hint="eastAsia" w:ascii="宋体" w:hAnsi="宋体" w:eastAsia="宋体" w:cs="宋体"/>
                <w:sz w:val="24"/>
                <w:szCs w:val="32"/>
                <w:lang w:val="en-US" w:eastAsia="zh-CN"/>
              </w:rPr>
              <w:t>公司决定</w:t>
            </w:r>
            <w:r>
              <w:rPr>
                <w:rFonts w:hint="eastAsia" w:ascii="宋体" w:hAnsi="宋体" w:eastAsia="宋体" w:cs="宋体"/>
                <w:sz w:val="24"/>
                <w:szCs w:val="32"/>
              </w:rPr>
              <w:t>进入</w:t>
            </w:r>
            <w:r>
              <w:rPr>
                <w:rFonts w:hint="eastAsia" w:ascii="宋体" w:hAnsi="宋体" w:eastAsia="宋体" w:cs="宋体"/>
                <w:sz w:val="24"/>
                <w:szCs w:val="32"/>
                <w:lang w:val="en-US" w:eastAsia="zh-CN"/>
              </w:rPr>
              <w:t>CVD</w:t>
            </w:r>
            <w:r>
              <w:rPr>
                <w:rFonts w:hint="eastAsia" w:ascii="宋体" w:hAnsi="宋体" w:eastAsia="宋体" w:cs="宋体"/>
                <w:sz w:val="24"/>
                <w:szCs w:val="32"/>
              </w:rPr>
              <w:t>金刚石材料领域</w:t>
            </w:r>
            <w:r>
              <w:rPr>
                <w:rFonts w:hint="eastAsia" w:ascii="宋体" w:hAnsi="宋体" w:eastAsia="宋体" w:cs="宋体"/>
                <w:sz w:val="24"/>
                <w:szCs w:val="32"/>
                <w:lang w:eastAsia="zh-CN"/>
              </w:rPr>
              <w:t>。</w:t>
            </w:r>
          </w:p>
          <w:p w14:paraId="6B388F67">
            <w:pPr>
              <w:spacing w:line="360" w:lineRule="auto"/>
              <w:ind w:firstLine="482" w:firstLineChars="200"/>
              <w:jc w:val="left"/>
              <w:rPr>
                <w:rFonts w:hint="eastAsia" w:asciiTheme="minorEastAsia" w:hAnsiTheme="minorEastAsia"/>
                <w:b/>
                <w:sz w:val="24"/>
                <w:szCs w:val="24"/>
              </w:rPr>
            </w:pPr>
            <w:r>
              <w:rPr>
                <w:rFonts w:hint="eastAsia" w:asciiTheme="minorEastAsia" w:hAnsiTheme="minorEastAsia"/>
                <w:b/>
                <w:sz w:val="24"/>
                <w:szCs w:val="24"/>
              </w:rPr>
              <w:t>2、</w:t>
            </w:r>
            <w:r>
              <w:rPr>
                <w:rFonts w:hint="eastAsia" w:asciiTheme="minorEastAsia" w:hAnsiTheme="minorEastAsia"/>
                <w:b/>
                <w:sz w:val="24"/>
                <w:szCs w:val="24"/>
                <w:lang w:val="en-US" w:eastAsia="zh-CN"/>
              </w:rPr>
              <w:t>公司CVD金刚石技术路线和优势有哪些</w:t>
            </w:r>
            <w:r>
              <w:rPr>
                <w:rFonts w:hint="eastAsia" w:asciiTheme="minorEastAsia" w:hAnsiTheme="minorEastAsia"/>
                <w:b/>
                <w:sz w:val="24"/>
                <w:szCs w:val="24"/>
              </w:rPr>
              <w:t>？</w:t>
            </w:r>
          </w:p>
          <w:p w14:paraId="72EFE3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spacing w:val="0"/>
                <w:sz w:val="24"/>
                <w:szCs w:val="24"/>
                <w:shd w:val="clear" w:fill="FFFFFF"/>
              </w:rPr>
            </w:pPr>
            <w:r>
              <w:rPr>
                <w:rFonts w:hint="eastAsia" w:ascii="宋体" w:hAnsi="宋体" w:eastAsia="宋体" w:cs="宋体"/>
                <w:i w:val="0"/>
                <w:iCs w:val="0"/>
                <w:caps w:val="0"/>
                <w:spacing w:val="0"/>
                <w:sz w:val="24"/>
                <w:szCs w:val="24"/>
                <w:shd w:val="clear" w:fill="FFFFFF"/>
              </w:rPr>
              <w:t>在金刚石材料产业化布局中，公司已形成明确且具备竞争力的技术路线与生产保障体系。公司采用MPCVD（微波等离子体化学气相沉积）技术开展金刚石材料生产，当前最大可制备尺寸达20</w:t>
            </w:r>
            <w:r>
              <w:rPr>
                <w:rFonts w:hint="eastAsia" w:ascii="宋体" w:hAnsi="宋体" w:eastAsia="宋体" w:cs="宋体"/>
                <w:i w:val="0"/>
                <w:iCs w:val="0"/>
                <w:caps w:val="0"/>
                <w:spacing w:val="0"/>
                <w:sz w:val="24"/>
                <w:szCs w:val="24"/>
                <w:shd w:val="clear" w:fill="FFFFFF"/>
                <w:lang w:val="en-US" w:eastAsia="zh-CN"/>
              </w:rPr>
              <w:t>*</w:t>
            </w:r>
            <w:r>
              <w:rPr>
                <w:rFonts w:hint="eastAsia" w:ascii="宋体" w:hAnsi="宋体" w:eastAsia="宋体" w:cs="宋体"/>
                <w:i w:val="0"/>
                <w:iCs w:val="0"/>
                <w:caps w:val="0"/>
                <w:spacing w:val="0"/>
                <w:sz w:val="24"/>
                <w:szCs w:val="24"/>
                <w:shd w:val="clear" w:fill="FFFFFF"/>
              </w:rPr>
              <w:t>20毫米的金刚石材料，为切入散热市场奠定坚实基础。公司在</w:t>
            </w:r>
            <w:r>
              <w:rPr>
                <w:rFonts w:hint="eastAsia" w:ascii="宋体" w:hAnsi="宋体" w:eastAsia="宋体" w:cs="宋体"/>
                <w:i w:val="0"/>
                <w:iCs w:val="0"/>
                <w:caps w:val="0"/>
                <w:spacing w:val="0"/>
                <w:sz w:val="24"/>
                <w:szCs w:val="24"/>
                <w:shd w:val="clear" w:fill="FFFFFF"/>
                <w:lang w:val="en-US" w:eastAsia="zh-CN"/>
              </w:rPr>
              <w:t>产品高</w:t>
            </w:r>
            <w:r>
              <w:rPr>
                <w:rFonts w:hint="eastAsia" w:ascii="宋体" w:hAnsi="宋体" w:eastAsia="宋体" w:cs="宋体"/>
                <w:i w:val="0"/>
                <w:iCs w:val="0"/>
                <w:caps w:val="0"/>
                <w:spacing w:val="0"/>
                <w:sz w:val="24"/>
                <w:szCs w:val="24"/>
                <w:shd w:val="clear" w:fill="FFFFFF"/>
              </w:rPr>
              <w:t>良品率（培育钻石产品端的良品率可达80%以上，金刚石功能性材料产品端的良品率可达90%以上）、</w:t>
            </w:r>
            <w:r>
              <w:rPr>
                <w:rFonts w:hint="eastAsia" w:ascii="宋体" w:hAnsi="宋体" w:eastAsia="宋体" w:cs="宋体"/>
                <w:i w:val="0"/>
                <w:iCs w:val="0"/>
                <w:caps w:val="0"/>
                <w:spacing w:val="0"/>
                <w:sz w:val="24"/>
                <w:szCs w:val="24"/>
                <w:shd w:val="clear" w:fill="FFFFFF"/>
                <w:lang w:val="en-US" w:eastAsia="zh-CN"/>
              </w:rPr>
              <w:t>生产</w:t>
            </w:r>
            <w:r>
              <w:rPr>
                <w:rFonts w:hint="eastAsia" w:ascii="宋体" w:hAnsi="宋体" w:eastAsia="宋体" w:cs="宋体"/>
                <w:i w:val="0"/>
                <w:iCs w:val="0"/>
                <w:caps w:val="0"/>
                <w:spacing w:val="0"/>
                <w:sz w:val="24"/>
                <w:szCs w:val="24"/>
                <w:shd w:val="clear" w:fill="FFFFFF"/>
              </w:rPr>
              <w:t>设备效率</w:t>
            </w:r>
            <w:r>
              <w:rPr>
                <w:rFonts w:hint="eastAsia" w:ascii="宋体" w:hAnsi="宋体" w:eastAsia="宋体" w:cs="宋体"/>
                <w:i w:val="0"/>
                <w:iCs w:val="0"/>
                <w:caps w:val="0"/>
                <w:spacing w:val="0"/>
                <w:sz w:val="24"/>
                <w:szCs w:val="24"/>
                <w:shd w:val="clear" w:fill="FFFFFF"/>
                <w:lang w:val="en-US" w:eastAsia="zh-CN"/>
              </w:rPr>
              <w:t>提升</w:t>
            </w:r>
            <w:r>
              <w:rPr>
                <w:rFonts w:hint="eastAsia" w:ascii="宋体" w:hAnsi="宋体" w:eastAsia="宋体" w:cs="宋体"/>
                <w:i w:val="0"/>
                <w:iCs w:val="0"/>
                <w:caps w:val="0"/>
                <w:spacing w:val="0"/>
                <w:sz w:val="24"/>
                <w:szCs w:val="24"/>
                <w:shd w:val="clear" w:fill="FFFFFF"/>
              </w:rPr>
              <w:t>、</w:t>
            </w:r>
            <w:r>
              <w:rPr>
                <w:rFonts w:hint="eastAsia" w:ascii="宋体" w:hAnsi="宋体" w:eastAsia="宋体" w:cs="宋体"/>
                <w:i w:val="0"/>
                <w:iCs w:val="0"/>
                <w:caps w:val="0"/>
                <w:spacing w:val="0"/>
                <w:sz w:val="24"/>
                <w:szCs w:val="24"/>
                <w:shd w:val="clear" w:fill="FFFFFF"/>
                <w:lang w:val="en-US" w:eastAsia="zh-CN"/>
              </w:rPr>
              <w:t>供电稳定性</w:t>
            </w:r>
            <w:r>
              <w:rPr>
                <w:rFonts w:hint="eastAsia" w:ascii="宋体" w:hAnsi="宋体" w:eastAsia="宋体" w:cs="宋体"/>
                <w:i w:val="0"/>
                <w:iCs w:val="0"/>
                <w:caps w:val="0"/>
                <w:spacing w:val="0"/>
                <w:sz w:val="24"/>
                <w:szCs w:val="24"/>
                <w:shd w:val="clear" w:fill="FFFFFF"/>
              </w:rPr>
              <w:t>及</w:t>
            </w:r>
            <w:r>
              <w:rPr>
                <w:rFonts w:hint="eastAsia" w:ascii="宋体" w:hAnsi="宋体" w:eastAsia="宋体" w:cs="宋体"/>
                <w:i w:val="0"/>
                <w:iCs w:val="0"/>
                <w:caps w:val="0"/>
                <w:spacing w:val="0"/>
                <w:sz w:val="24"/>
                <w:szCs w:val="24"/>
                <w:shd w:val="clear" w:fill="FFFFFF"/>
                <w:lang w:val="en-US" w:eastAsia="zh-CN"/>
              </w:rPr>
              <w:t>技术迭代等</w:t>
            </w:r>
            <w:r>
              <w:rPr>
                <w:rFonts w:hint="eastAsia" w:ascii="宋体" w:hAnsi="宋体" w:eastAsia="宋体" w:cs="宋体"/>
                <w:i w:val="0"/>
                <w:iCs w:val="0"/>
                <w:caps w:val="0"/>
                <w:spacing w:val="0"/>
                <w:sz w:val="24"/>
                <w:szCs w:val="24"/>
                <w:shd w:val="clear" w:fill="FFFFFF"/>
              </w:rPr>
              <w:t>方面具备综合优势，形成坚实壁垒，具备竞争</w:t>
            </w:r>
            <w:r>
              <w:rPr>
                <w:rFonts w:hint="eastAsia" w:ascii="宋体" w:hAnsi="宋体" w:eastAsia="宋体" w:cs="宋体"/>
                <w:i w:val="0"/>
                <w:iCs w:val="0"/>
                <w:caps w:val="0"/>
                <w:spacing w:val="0"/>
                <w:sz w:val="24"/>
                <w:szCs w:val="24"/>
                <w:shd w:val="clear" w:fill="FFFFFF"/>
                <w:lang w:val="en-US" w:eastAsia="zh-CN"/>
              </w:rPr>
              <w:t>优势</w:t>
            </w:r>
            <w:r>
              <w:rPr>
                <w:rFonts w:hint="eastAsia" w:ascii="宋体" w:hAnsi="宋体" w:eastAsia="宋体" w:cs="宋体"/>
                <w:i w:val="0"/>
                <w:iCs w:val="0"/>
                <w:caps w:val="0"/>
                <w:spacing w:val="0"/>
                <w:sz w:val="24"/>
                <w:szCs w:val="24"/>
                <w:shd w:val="clear" w:fill="FFFFFF"/>
              </w:rPr>
              <w:t>。</w:t>
            </w:r>
          </w:p>
          <w:p w14:paraId="35AD8356">
            <w:pPr>
              <w:spacing w:line="360" w:lineRule="auto"/>
              <w:ind w:firstLine="482" w:firstLineChars="200"/>
              <w:jc w:val="left"/>
              <w:rPr>
                <w:rFonts w:hint="eastAsia" w:asciiTheme="minorEastAsia" w:hAnsiTheme="minorEastAsia"/>
                <w:b/>
                <w:sz w:val="24"/>
                <w:szCs w:val="24"/>
              </w:rPr>
            </w:pPr>
            <w:r>
              <w:rPr>
                <w:rFonts w:hint="eastAsia" w:asciiTheme="minorEastAsia" w:hAnsiTheme="minorEastAsia"/>
                <w:b/>
                <w:sz w:val="24"/>
                <w:szCs w:val="24"/>
                <w:lang w:val="en-US" w:eastAsia="zh-CN"/>
              </w:rPr>
              <w:t>3、公司金刚石业务的产能规划和建设进展</w:t>
            </w:r>
            <w:r>
              <w:rPr>
                <w:rFonts w:hint="eastAsia" w:asciiTheme="minorEastAsia" w:hAnsiTheme="minorEastAsia"/>
                <w:b/>
                <w:sz w:val="24"/>
                <w:szCs w:val="24"/>
                <w:lang w:eastAsia="zh-CN"/>
              </w:rPr>
              <w:t>？</w:t>
            </w:r>
          </w:p>
          <w:p w14:paraId="1FAF6E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项目自2022年启动，历经三年多时间的研发积累，目前公司MPCVD金刚石项目正在分阶段逐步扩产，避免陷入盲目扩产陷阱，</w:t>
            </w:r>
            <w:r>
              <w:rPr>
                <w:rFonts w:hint="eastAsia" w:ascii="宋体" w:hAnsi="宋体" w:eastAsia="宋体" w:cs="宋体"/>
                <w:i w:val="0"/>
                <w:iCs w:val="0"/>
                <w:caps w:val="0"/>
                <w:spacing w:val="0"/>
                <w:sz w:val="24"/>
                <w:szCs w:val="24"/>
                <w:shd w:val="clear" w:fill="FFFFFF"/>
              </w:rPr>
              <w:t>预计2025年底</w:t>
            </w:r>
            <w:r>
              <w:rPr>
                <w:rFonts w:hint="eastAsia" w:ascii="宋体" w:hAnsi="宋体" w:eastAsia="宋体" w:cs="宋体"/>
                <w:i w:val="0"/>
                <w:iCs w:val="0"/>
                <w:caps w:val="0"/>
                <w:spacing w:val="0"/>
                <w:sz w:val="24"/>
                <w:szCs w:val="24"/>
                <w:shd w:val="clear" w:fill="FFFFFF"/>
                <w:lang w:val="en-US" w:eastAsia="zh-CN"/>
              </w:rPr>
              <w:t>新增</w:t>
            </w:r>
            <w:r>
              <w:rPr>
                <w:rFonts w:hint="eastAsia" w:ascii="宋体" w:hAnsi="宋体" w:eastAsia="宋体" w:cs="宋体"/>
                <w:i w:val="0"/>
                <w:iCs w:val="0"/>
                <w:caps w:val="0"/>
                <w:spacing w:val="0"/>
                <w:sz w:val="24"/>
                <w:szCs w:val="24"/>
                <w:shd w:val="clear" w:fill="FFFFFF"/>
              </w:rPr>
              <w:t>实际产能达年产60万克拉。</w:t>
            </w:r>
          </w:p>
          <w:p w14:paraId="2019C9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sz w:val="24"/>
                <w:szCs w:val="32"/>
              </w:rPr>
            </w:pPr>
            <w:r>
              <w:rPr>
                <w:rFonts w:hint="eastAsia" w:asciiTheme="minorEastAsia" w:hAnsiTheme="minorEastAsia"/>
                <w:b/>
                <w:bCs w:val="0"/>
                <w:sz w:val="24"/>
                <w:szCs w:val="24"/>
                <w:lang w:val="en-US" w:eastAsia="zh-CN"/>
              </w:rPr>
              <w:t>4、</w:t>
            </w:r>
            <w:r>
              <w:rPr>
                <w:rFonts w:hint="eastAsia" w:ascii="宋体" w:hAnsi="宋体" w:eastAsia="宋体" w:cs="宋体"/>
                <w:b/>
                <w:bCs w:val="0"/>
                <w:sz w:val="24"/>
                <w:szCs w:val="32"/>
              </w:rPr>
              <w:t>CVD金刚石</w:t>
            </w:r>
            <w:r>
              <w:rPr>
                <w:rFonts w:hint="eastAsia" w:ascii="宋体" w:hAnsi="宋体" w:eastAsia="宋体" w:cs="宋体"/>
                <w:b/>
                <w:bCs w:val="0"/>
                <w:sz w:val="24"/>
                <w:szCs w:val="32"/>
                <w:lang w:val="en-US" w:eastAsia="zh-CN"/>
              </w:rPr>
              <w:t>在散热市场应有领域有哪些？</w:t>
            </w:r>
          </w:p>
          <w:p w14:paraId="64B8AB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当前，金刚石材料在工业</w:t>
            </w:r>
            <w:r>
              <w:rPr>
                <w:rFonts w:hint="eastAsia" w:ascii="宋体" w:hAnsi="宋体" w:eastAsia="宋体" w:cs="宋体"/>
                <w:i w:val="0"/>
                <w:iCs w:val="0"/>
                <w:caps w:val="0"/>
                <w:spacing w:val="0"/>
                <w:sz w:val="24"/>
                <w:szCs w:val="24"/>
                <w:shd w:val="clear" w:fill="FFFFFF"/>
                <w:lang w:val="en-US" w:eastAsia="zh-CN"/>
              </w:rPr>
              <w:t>端</w:t>
            </w:r>
            <w:r>
              <w:rPr>
                <w:rFonts w:hint="eastAsia" w:ascii="宋体" w:hAnsi="宋体" w:eastAsia="宋体" w:cs="宋体"/>
                <w:i w:val="0"/>
                <w:iCs w:val="0"/>
                <w:caps w:val="0"/>
                <w:spacing w:val="0"/>
                <w:sz w:val="24"/>
                <w:szCs w:val="24"/>
                <w:shd w:val="clear" w:fill="FFFFFF"/>
              </w:rPr>
              <w:t>应用领域中，芯片散热方向已展现出最为突出的发展前景。该材料的核心竞争优势在于其卓越的导热性能，其导热效率显著优于陶瓷等传统散热材料，这一特性使其在高功率芯片、</w:t>
            </w:r>
            <w:r>
              <w:rPr>
                <w:rFonts w:hint="eastAsia" w:ascii="宋体" w:hAnsi="宋体" w:eastAsia="宋体" w:cs="宋体"/>
                <w:i w:val="0"/>
                <w:iCs w:val="0"/>
                <w:caps w:val="0"/>
                <w:spacing w:val="0"/>
                <w:sz w:val="24"/>
                <w:szCs w:val="24"/>
                <w:highlight w:val="none"/>
                <w:shd w:val="clear" w:fill="FFFFFF"/>
              </w:rPr>
              <w:t>GPU等对散热效率要求极高的场景中</w:t>
            </w:r>
            <w:r>
              <w:rPr>
                <w:rFonts w:hint="eastAsia" w:ascii="宋体" w:hAnsi="宋体" w:eastAsia="宋体" w:cs="宋体"/>
                <w:i w:val="0"/>
                <w:iCs w:val="0"/>
                <w:caps w:val="0"/>
                <w:spacing w:val="0"/>
                <w:sz w:val="24"/>
                <w:szCs w:val="24"/>
                <w:shd w:val="clear" w:fill="FFFFFF"/>
              </w:rPr>
              <w:t>，具备应用潜力。从产业发展趋势来看，随着半导体技术迭代加速，单颗芯片的功率密度正持续提升，由此带来的散热瓶颈已成为制约高端芯片性能释放与产业升级的关键因素。市场对高效导热材料的需求呈现快速增长态势，而金刚石材料在散热领域的技术特性与应用价值，未来有望成为缓解高端场景散热压力、推动相关产业突破技术瓶颈的重要支撑。</w:t>
            </w:r>
          </w:p>
          <w:p w14:paraId="230232AE">
            <w:pPr>
              <w:spacing w:line="360" w:lineRule="auto"/>
              <w:ind w:firstLine="482" w:firstLineChars="200"/>
              <w:jc w:val="left"/>
              <w:rPr>
                <w:rFonts w:hint="default" w:asciiTheme="minorEastAsia" w:hAnsiTheme="minorEastAsia"/>
                <w:b/>
                <w:bCs w:val="0"/>
                <w:sz w:val="24"/>
                <w:szCs w:val="24"/>
                <w:lang w:val="en-US" w:eastAsia="zh-CN"/>
              </w:rPr>
            </w:pPr>
            <w:r>
              <w:rPr>
                <w:rFonts w:hint="eastAsia" w:asciiTheme="minorEastAsia" w:hAnsiTheme="minorEastAsia"/>
                <w:b/>
                <w:bCs w:val="0"/>
                <w:sz w:val="24"/>
                <w:szCs w:val="24"/>
                <w:lang w:val="en-US" w:eastAsia="zh-CN"/>
              </w:rPr>
              <w:t>5、</w:t>
            </w:r>
            <w:r>
              <w:rPr>
                <w:rFonts w:hint="eastAsia" w:ascii="宋体" w:hAnsi="宋体" w:eastAsia="宋体" w:cs="宋体"/>
                <w:b/>
                <w:bCs w:val="0"/>
                <w:sz w:val="24"/>
                <w:szCs w:val="32"/>
                <w:lang w:val="en-US" w:eastAsia="zh-CN"/>
              </w:rPr>
              <w:t>公司金刚石业务成本构成主要有哪些？</w:t>
            </w:r>
          </w:p>
          <w:p w14:paraId="688D8E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spacing w:val="0"/>
                <w:sz w:val="24"/>
                <w:szCs w:val="24"/>
                <w:shd w:val="clear" w:fill="FFFFFF"/>
              </w:rPr>
            </w:pPr>
            <w:r>
              <w:rPr>
                <w:rFonts w:hint="eastAsia" w:ascii="宋体" w:hAnsi="宋体" w:eastAsia="宋体" w:cs="宋体"/>
                <w:i w:val="0"/>
                <w:iCs w:val="0"/>
                <w:caps w:val="0"/>
                <w:spacing w:val="0"/>
                <w:sz w:val="24"/>
                <w:szCs w:val="24"/>
                <w:shd w:val="clear" w:fill="FFFFFF"/>
                <w:lang w:val="en-US" w:eastAsia="zh-CN"/>
              </w:rPr>
              <w:t>公司CVD金刚石产品的生产成本主要由晶种材料、电力、甲烷等相关生产用气体、员工薪酬及设备折旧等多方面构成。基于对成本结构的精准把控，公司也针对性制定了相应的成本优化与生产保障策略，包含自建110KV变电站维护电压的稳定，从而减少由此引发的金刚石晶体生长批次报废风险，以保障生产连续性与产品良率稳定，</w:t>
            </w:r>
            <w:r>
              <w:rPr>
                <w:rFonts w:hint="eastAsia" w:ascii="宋体" w:hAnsi="宋体" w:eastAsia="宋体" w:cs="宋体"/>
                <w:i w:val="0"/>
                <w:iCs w:val="0"/>
                <w:caps w:val="0"/>
                <w:spacing w:val="0"/>
                <w:sz w:val="24"/>
                <w:szCs w:val="24"/>
                <w:shd w:val="clear" w:fill="FFFFFF"/>
              </w:rPr>
              <w:t>使用</w:t>
            </w:r>
            <w:r>
              <w:rPr>
                <w:rFonts w:hint="eastAsia" w:ascii="宋体" w:hAnsi="宋体" w:eastAsia="宋体" w:cs="宋体"/>
                <w:i w:val="0"/>
                <w:iCs w:val="0"/>
                <w:caps w:val="0"/>
                <w:spacing w:val="0"/>
                <w:sz w:val="24"/>
                <w:szCs w:val="24"/>
                <w:shd w:val="clear" w:fill="FFFFFF"/>
                <w:lang w:val="en-US" w:eastAsia="zh-CN"/>
              </w:rPr>
              <w:t>最新一代生产</w:t>
            </w:r>
            <w:r>
              <w:rPr>
                <w:rFonts w:hint="eastAsia" w:ascii="宋体" w:hAnsi="宋体" w:eastAsia="宋体" w:cs="宋体"/>
                <w:i w:val="0"/>
                <w:iCs w:val="0"/>
                <w:caps w:val="0"/>
                <w:spacing w:val="0"/>
                <w:sz w:val="24"/>
                <w:szCs w:val="24"/>
                <w:shd w:val="clear" w:fill="FFFFFF"/>
              </w:rPr>
              <w:t>设备提升产能效率</w:t>
            </w:r>
            <w:r>
              <w:rPr>
                <w:rFonts w:hint="eastAsia" w:ascii="宋体" w:hAnsi="宋体" w:eastAsia="宋体" w:cs="宋体"/>
                <w:i w:val="0"/>
                <w:iCs w:val="0"/>
                <w:caps w:val="0"/>
                <w:spacing w:val="0"/>
                <w:sz w:val="24"/>
                <w:szCs w:val="24"/>
                <w:shd w:val="clear" w:fill="FFFFFF"/>
                <w:lang w:val="en-US" w:eastAsia="zh-CN"/>
              </w:rPr>
              <w:t>以及进一步推动</w:t>
            </w:r>
            <w:r>
              <w:rPr>
                <w:rFonts w:hint="eastAsia" w:ascii="宋体" w:hAnsi="宋体" w:eastAsia="宋体" w:cs="宋体"/>
                <w:i w:val="0"/>
                <w:iCs w:val="0"/>
                <w:caps w:val="0"/>
                <w:spacing w:val="0"/>
                <w:sz w:val="24"/>
                <w:szCs w:val="24"/>
                <w:shd w:val="clear" w:fill="FFFFFF"/>
              </w:rPr>
              <w:t>自动化管理</w:t>
            </w:r>
            <w:r>
              <w:rPr>
                <w:rFonts w:hint="eastAsia" w:ascii="宋体" w:hAnsi="宋体" w:eastAsia="宋体" w:cs="宋体"/>
                <w:i w:val="0"/>
                <w:iCs w:val="0"/>
                <w:caps w:val="0"/>
                <w:spacing w:val="0"/>
                <w:sz w:val="24"/>
                <w:szCs w:val="24"/>
                <w:shd w:val="clear" w:fill="FFFFFF"/>
                <w:lang w:val="en-US" w:eastAsia="zh-CN"/>
              </w:rPr>
              <w:t>模式等</w:t>
            </w:r>
            <w:r>
              <w:rPr>
                <w:rFonts w:hint="eastAsia" w:ascii="宋体" w:hAnsi="宋体" w:eastAsia="宋体" w:cs="宋体"/>
                <w:i w:val="0"/>
                <w:iCs w:val="0"/>
                <w:caps w:val="0"/>
                <w:spacing w:val="0"/>
                <w:sz w:val="24"/>
                <w:szCs w:val="24"/>
                <w:shd w:val="clear" w:fill="FFFFFF"/>
              </w:rPr>
              <w:t>。</w:t>
            </w:r>
          </w:p>
          <w:p w14:paraId="4908316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iCs w:val="0"/>
                <w:caps w:val="0"/>
                <w:spacing w:val="0"/>
                <w:sz w:val="24"/>
                <w:szCs w:val="24"/>
                <w:shd w:val="clear" w:fill="FFFFFF"/>
                <w:lang w:val="en-US" w:eastAsia="zh-CN"/>
              </w:rPr>
            </w:pPr>
            <w:r>
              <w:rPr>
                <w:rFonts w:hint="eastAsia" w:ascii="宋体" w:hAnsi="宋体" w:eastAsia="宋体" w:cs="宋体"/>
                <w:b/>
                <w:bCs/>
                <w:i w:val="0"/>
                <w:iCs w:val="0"/>
                <w:caps w:val="0"/>
                <w:spacing w:val="0"/>
                <w:sz w:val="24"/>
                <w:szCs w:val="24"/>
                <w:shd w:val="clear" w:fill="FFFFFF"/>
                <w:lang w:val="en-US" w:eastAsia="zh-CN"/>
              </w:rPr>
              <w:t>目前公司金刚石业务是怎样的销售策略？</w:t>
            </w:r>
          </w:p>
          <w:p w14:paraId="27C406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32"/>
                <w:lang w:val="en-US" w:eastAsia="zh-CN"/>
              </w:rPr>
            </w:pPr>
            <w:r>
              <w:rPr>
                <w:rFonts w:hint="eastAsia" w:ascii="宋体" w:hAnsi="宋体" w:eastAsia="宋体" w:cs="宋体"/>
                <w:i w:val="0"/>
                <w:iCs w:val="0"/>
                <w:caps w:val="0"/>
                <w:spacing w:val="0"/>
                <w:sz w:val="24"/>
                <w:szCs w:val="24"/>
                <w:shd w:val="clear" w:fill="FFFFFF"/>
                <w:lang w:val="en-US" w:eastAsia="zh-CN"/>
              </w:rPr>
              <w:t>在</w:t>
            </w:r>
            <w:r>
              <w:rPr>
                <w:rFonts w:hint="eastAsia" w:ascii="宋体" w:hAnsi="宋体" w:eastAsia="宋体" w:cs="宋体"/>
                <w:i w:val="0"/>
                <w:iCs w:val="0"/>
                <w:caps w:val="0"/>
                <w:spacing w:val="0"/>
                <w:sz w:val="24"/>
                <w:szCs w:val="24"/>
                <w:shd w:val="clear" w:fill="FFFFFF"/>
              </w:rPr>
              <w:t>金刚石功能性材料产品端</w:t>
            </w:r>
            <w:r>
              <w:rPr>
                <w:rFonts w:hint="eastAsia" w:ascii="宋体" w:hAnsi="宋体" w:eastAsia="宋体" w:cs="宋体"/>
                <w:i w:val="0"/>
                <w:iCs w:val="0"/>
                <w:caps w:val="0"/>
                <w:spacing w:val="0"/>
                <w:sz w:val="24"/>
                <w:szCs w:val="24"/>
                <w:shd w:val="clear" w:fill="FFFFFF"/>
                <w:lang w:val="en-US" w:eastAsia="zh-CN"/>
              </w:rPr>
              <w:t>，</w:t>
            </w:r>
            <w:r>
              <w:rPr>
                <w:rFonts w:ascii="Segoe UI" w:hAnsi="Segoe UI" w:eastAsia="Segoe UI" w:cs="Segoe UI"/>
                <w:i w:val="0"/>
                <w:iCs w:val="0"/>
                <w:caps w:val="0"/>
                <w:color w:val="0F1115"/>
                <w:spacing w:val="0"/>
                <w:sz w:val="24"/>
                <w:szCs w:val="24"/>
                <w:shd w:val="clear" w:fill="FFFFFF"/>
              </w:rPr>
              <w:t>公司积极把握市场机遇</w:t>
            </w:r>
            <w:r>
              <w:rPr>
                <w:rFonts w:hint="eastAsia" w:ascii="Segoe UI" w:hAnsi="Segoe UI" w:eastAsia="宋体" w:cs="Segoe UI"/>
                <w:i w:val="0"/>
                <w:iCs w:val="0"/>
                <w:caps w:val="0"/>
                <w:color w:val="0F1115"/>
                <w:spacing w:val="0"/>
                <w:sz w:val="24"/>
                <w:szCs w:val="24"/>
                <w:shd w:val="clear" w:fill="FFFFFF"/>
                <w:lang w:eastAsia="zh-CN"/>
              </w:rPr>
              <w:t>，</w:t>
            </w:r>
            <w:r>
              <w:rPr>
                <w:rFonts w:hint="eastAsia" w:ascii="Segoe UI" w:hAnsi="Segoe UI" w:eastAsia="宋体" w:cs="Segoe UI"/>
                <w:i w:val="0"/>
                <w:iCs w:val="0"/>
                <w:caps w:val="0"/>
                <w:color w:val="0F1115"/>
                <w:spacing w:val="0"/>
                <w:sz w:val="24"/>
                <w:szCs w:val="24"/>
                <w:shd w:val="clear" w:fill="FFFFFF"/>
                <w:lang w:val="en-US" w:eastAsia="zh-CN"/>
              </w:rPr>
              <w:t>正在</w:t>
            </w:r>
            <w:r>
              <w:rPr>
                <w:rFonts w:hint="eastAsia" w:ascii="宋体" w:hAnsi="宋体" w:eastAsia="宋体" w:cs="宋体"/>
                <w:i w:val="0"/>
                <w:iCs w:val="0"/>
                <w:caps w:val="0"/>
                <w:spacing w:val="0"/>
                <w:sz w:val="24"/>
                <w:szCs w:val="24"/>
                <w:shd w:val="clear" w:fill="FFFFFF"/>
                <w:lang w:val="en-US" w:eastAsia="zh-CN"/>
              </w:rPr>
              <w:t>积极与多家厂商进行</w:t>
            </w:r>
            <w:bookmarkStart w:id="0" w:name="_GoBack"/>
            <w:bookmarkEnd w:id="0"/>
            <w:r>
              <w:rPr>
                <w:rFonts w:hint="eastAsia" w:ascii="宋体" w:hAnsi="宋体" w:eastAsia="宋体" w:cs="宋体"/>
                <w:i w:val="0"/>
                <w:iCs w:val="0"/>
                <w:caps w:val="0"/>
                <w:spacing w:val="0"/>
                <w:sz w:val="24"/>
                <w:szCs w:val="24"/>
                <w:shd w:val="clear" w:fill="FFFFFF"/>
                <w:lang w:val="en-US" w:eastAsia="zh-CN"/>
              </w:rPr>
              <w:t>对接；在培育钻石产品端，公司目前主要采用经销模式和零售直销模式销售产品，销售模式通常融合了多种渠道和策略，主要包括社交媒体营销、展会与博览会、定制与个性化服务等。</w:t>
            </w:r>
          </w:p>
          <w:p w14:paraId="4EC8D9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7、公司热电联产主要有哪几个业务模式，收购的东北热电厂是怎样的经营模式？</w:t>
            </w:r>
          </w:p>
          <w:p w14:paraId="34C2C7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
                <w:bCs/>
                <w:sz w:val="24"/>
                <w:szCs w:val="32"/>
                <w:lang w:val="en-US" w:eastAsia="zh-CN"/>
              </w:rPr>
            </w:pPr>
            <w:r>
              <w:rPr>
                <w:rFonts w:hint="eastAsia" w:ascii="宋体" w:hAnsi="宋体" w:eastAsia="宋体" w:cs="宋体"/>
                <w:sz w:val="24"/>
                <w:szCs w:val="32"/>
                <w:lang w:val="en-US" w:eastAsia="zh-CN"/>
              </w:rPr>
              <w:t>公司热电联产业务涵盖燃煤热电联产、固废热电联产和生物质热电联产。2025年初公司增资的伊通满族自治县华大生物质热电有限公司，位于吉林省四平市伊通满族自治县长伊工业集聚区内，主要从事以玉米秸秆、其他农林废弃物为燃料的热电联产项目，目前以热定产、采暖季运行，采用低真空运行、烟气热泵技术、循环水供热的方式，汽轮发电机组发电并输送至国家电网，生产的热水通过管网供采暖季居民使用，目前主要为东北地区采暖季24小时不间断运行。其中对居民的供暖一般采用预收款形式，按照采暖的建筑面积*当地供暖费的标准收取。</w:t>
            </w:r>
          </w:p>
          <w:p w14:paraId="2E2800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0"/>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8、公司煤炭的采购模式是怎么样的？</w:t>
            </w:r>
          </w:p>
          <w:p w14:paraId="4D85FF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煤炭是公司燃煤热电联产的主要原材料，公司采购部门主要负责组织煤炭采购，一般每月采购一到二次，采购时会根据煤炭价格趋势适当增减库存，一般至少储备半个月用煤库存。公司向具备较好供货实力、良好信誉的供应商进行询价，供应商的报价是包含煤炭离岸平仓价、煤炭到厂运输费、港杂费及合理利润等在内的总价格，公司通过对比供应商的报价确定最终供应商，并与最终供应商签订煤炭采购合同，煤炭数量以供应商送货入厂过磅为准，并通过公司验收合格后入库，根据双方确认的检验结果结算。</w:t>
            </w:r>
          </w:p>
          <w:p w14:paraId="0F609A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0"/>
              <w:jc w:val="both"/>
              <w:textAlignment w:val="auto"/>
              <w:rPr>
                <w:rFonts w:hint="default" w:ascii="宋体" w:hAnsi="宋体" w:eastAsia="宋体" w:cs="宋体"/>
                <w:b/>
                <w:bCs/>
                <w:sz w:val="24"/>
                <w:szCs w:val="32"/>
                <w:lang w:val="en-US" w:eastAsia="zh-CN"/>
              </w:rPr>
            </w:pPr>
            <w:r>
              <w:rPr>
                <w:rFonts w:hint="eastAsia" w:ascii="宋体" w:hAnsi="宋体" w:eastAsia="宋体" w:cs="宋体"/>
                <w:b/>
                <w:bCs/>
                <w:sz w:val="24"/>
                <w:szCs w:val="32"/>
                <w:lang w:val="en-US" w:eastAsia="zh-CN"/>
              </w:rPr>
              <w:t>9、公司工业用蒸汽的销售模式和定价是怎样？</w:t>
            </w:r>
          </w:p>
          <w:p w14:paraId="106C6B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在现有热力管网覆盖范围内，公司生产的蒸汽主要供应园区内的造纸、纺织印染、家居制造、</w:t>
            </w:r>
            <w:r>
              <w:rPr>
                <w:rFonts w:hint="default" w:ascii="宋体" w:hAnsi="宋体" w:eastAsia="宋体" w:cs="宋体"/>
                <w:sz w:val="24"/>
                <w:szCs w:val="32"/>
                <w:lang w:val="en-US" w:eastAsia="zh-CN"/>
              </w:rPr>
              <w:t>食品乳业等用热企业使用。符合产业政策的新用热企业需向园区管委会提出用汽申请，经园区管委会同意后，由公司热网部负责与客户开展前期沟通，确定客户的用汽需求、用汽参数等。公司与客户一般签订有效期5年的《热网供汽协议》，</w:t>
            </w:r>
            <w:r>
              <w:rPr>
                <w:rFonts w:hint="eastAsia" w:ascii="宋体" w:hAnsi="宋体" w:eastAsia="宋体" w:cs="宋体"/>
                <w:sz w:val="24"/>
                <w:szCs w:val="32"/>
                <w:lang w:val="en-US" w:eastAsia="zh-CN"/>
              </w:rPr>
              <w:t>双方</w:t>
            </w:r>
            <w:r>
              <w:rPr>
                <w:rFonts w:hint="default" w:ascii="宋体" w:hAnsi="宋体" w:eastAsia="宋体" w:cs="宋体"/>
                <w:sz w:val="24"/>
                <w:szCs w:val="32"/>
                <w:lang w:val="en-US" w:eastAsia="zh-CN"/>
              </w:rPr>
              <w:t>建立稳定、长期的合作关系。蒸汽销量由客户蒸汽入口的流量计量装置实时计算，客户蒸汽费用一般按月结算，由公司及客户双方共同抄表确认作为结算依据，客户一般在公司给予的信用期内付款</w:t>
            </w:r>
            <w:r>
              <w:rPr>
                <w:rFonts w:hint="eastAsia" w:ascii="宋体" w:hAnsi="宋体" w:eastAsia="宋体" w:cs="宋体"/>
                <w:sz w:val="24"/>
                <w:szCs w:val="32"/>
                <w:lang w:val="en-US" w:eastAsia="zh-CN"/>
              </w:rPr>
              <w:t>，</w:t>
            </w:r>
            <w:r>
              <w:rPr>
                <w:rFonts w:hint="default" w:ascii="宋体" w:hAnsi="宋体" w:eastAsia="宋体" w:cs="宋体"/>
                <w:sz w:val="24"/>
                <w:szCs w:val="32"/>
                <w:lang w:val="en-US" w:eastAsia="zh-CN"/>
              </w:rPr>
              <w:t>公司已建立了热网预付费系统，</w:t>
            </w:r>
            <w:r>
              <w:rPr>
                <w:rFonts w:hint="eastAsia" w:ascii="宋体" w:hAnsi="宋体" w:eastAsia="宋体" w:cs="宋体"/>
                <w:sz w:val="24"/>
                <w:szCs w:val="32"/>
                <w:lang w:val="en-US" w:eastAsia="zh-CN"/>
              </w:rPr>
              <w:t>已逐步扩大客户</w:t>
            </w:r>
            <w:r>
              <w:rPr>
                <w:rFonts w:hint="default" w:ascii="宋体" w:hAnsi="宋体" w:eastAsia="宋体" w:cs="宋体"/>
                <w:sz w:val="24"/>
                <w:szCs w:val="32"/>
                <w:lang w:val="en-US" w:eastAsia="zh-CN"/>
              </w:rPr>
              <w:t>预付费方式购买使用蒸汽。公司蒸汽销售价格采用煤热联动的市场化定价机制</w:t>
            </w:r>
            <w:r>
              <w:rPr>
                <w:rFonts w:hint="eastAsia" w:ascii="宋体" w:hAnsi="宋体" w:eastAsia="宋体" w:cs="宋体"/>
                <w:sz w:val="24"/>
                <w:szCs w:val="32"/>
                <w:lang w:val="en-US" w:eastAsia="zh-CN"/>
              </w:rPr>
              <w:t>，园区集中供热管理协调工作小组及本公司根据县发改局上月联动煤价审核数据确定当月执行的供热价格。</w:t>
            </w:r>
          </w:p>
          <w:p w14:paraId="38A043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10、公司接下来是否会有收并购动作？</w:t>
            </w:r>
          </w:p>
          <w:p w14:paraId="221B38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公司对于并购业务保持开放、稳健的态度，</w:t>
            </w:r>
            <w:r>
              <w:rPr>
                <w:rFonts w:hint="eastAsia" w:ascii="宋体" w:hAnsi="宋体" w:eastAsia="宋体" w:cs="宋体"/>
                <w:sz w:val="24"/>
                <w:szCs w:val="32"/>
              </w:rPr>
              <w:t>在把握战略机遇的同时严控风险</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公司仍在积极储备优质热电联产标的项目，后续如有相关进展，公司将严格按照监管要求履行信息披露义务。</w:t>
            </w:r>
          </w:p>
          <w:p w14:paraId="394939AE">
            <w:pPr>
              <w:spacing w:line="360" w:lineRule="auto"/>
              <w:ind w:firstLine="482" w:firstLineChars="200"/>
              <w:jc w:val="left"/>
              <w:rPr>
                <w:rFonts w:hint="eastAsia" w:asciiTheme="minorEastAsia" w:hAnsiTheme="minorEastAsia"/>
                <w:b/>
                <w:sz w:val="24"/>
                <w:szCs w:val="24"/>
                <w:lang w:val="en-US" w:eastAsia="zh-CN"/>
              </w:rPr>
            </w:pPr>
            <w:r>
              <w:rPr>
                <w:rFonts w:hint="eastAsia" w:asciiTheme="minorEastAsia" w:hAnsiTheme="minorEastAsia"/>
                <w:b/>
                <w:sz w:val="24"/>
                <w:szCs w:val="24"/>
                <w:lang w:val="en-US" w:eastAsia="zh-CN"/>
              </w:rPr>
              <w:t>11、</w:t>
            </w:r>
            <w:r>
              <w:rPr>
                <w:rFonts w:ascii="宋体" w:hAnsi="宋体" w:eastAsia="宋体" w:cs="宋体"/>
                <w:b/>
                <w:bCs/>
                <w:sz w:val="24"/>
                <w:szCs w:val="24"/>
              </w:rPr>
              <w:t>请问公司未来会增加分红频次吗</w:t>
            </w:r>
            <w:r>
              <w:rPr>
                <w:rFonts w:hint="eastAsia" w:asciiTheme="minorEastAsia" w:hAnsiTheme="minorEastAsia"/>
                <w:b/>
                <w:sz w:val="24"/>
                <w:szCs w:val="24"/>
                <w:lang w:val="en-US" w:eastAsia="zh-CN"/>
              </w:rPr>
              <w:t>？</w:t>
            </w:r>
          </w:p>
          <w:p w14:paraId="7FBCFF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公司高度重视投资者合理投资回报诉求，将保障股东利益作为公司治理的重要考量位置。根据相关文件的规范要求，结合《公司章程》的相关规定，公司于2024年制定了《未来三年（2024-2026年）现金分红规划》，明确将持续完善利润分配政策，增强现金分红的透明度与可预期性。</w:t>
            </w:r>
          </w:p>
          <w:p w14:paraId="6CB55D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未来，公司将继续密切关注监管政策导向与市场宏观环境的基础上综合考虑公司年度经营状况、现金流、资本开支及中长期战略规划等因素，审慎研究增加分红频次的可行性，确保利润分配政策的连续性、稳定性和透明度。</w:t>
            </w:r>
          </w:p>
          <w:p w14:paraId="41BA6651">
            <w:pPr>
              <w:spacing w:line="360" w:lineRule="auto"/>
              <w:ind w:firstLine="482" w:firstLineChars="200"/>
              <w:jc w:val="both"/>
              <w:rPr>
                <w:rFonts w:hint="eastAsia" w:eastAsia="宋体" w:asciiTheme="minorEastAsia" w:hAnsiTheme="minorEastAsia"/>
                <w:b/>
                <w:sz w:val="24"/>
                <w:szCs w:val="24"/>
                <w:lang w:val="en-US" w:eastAsia="zh-CN"/>
              </w:rPr>
            </w:pPr>
            <w:r>
              <w:rPr>
                <w:rFonts w:hint="eastAsia" w:asciiTheme="minorEastAsia" w:hAnsiTheme="minorEastAsia"/>
                <w:b/>
                <w:sz w:val="24"/>
                <w:szCs w:val="24"/>
                <w:lang w:val="en-US" w:eastAsia="zh-CN"/>
              </w:rPr>
              <w:t>12、公司是如何看待目前的股价？</w:t>
            </w:r>
          </w:p>
          <w:p w14:paraId="74C1A8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32"/>
                <w:highlight w:val="none"/>
              </w:rPr>
            </w:pPr>
            <w:r>
              <w:rPr>
                <w:rFonts w:hint="eastAsia" w:ascii="宋体" w:hAnsi="宋体" w:eastAsia="宋体" w:cs="宋体"/>
                <w:sz w:val="24"/>
                <w:szCs w:val="32"/>
                <w:lang w:val="en-US" w:eastAsia="zh-CN"/>
              </w:rPr>
              <w:t>公司股价受宏观经济、行业政策、市场情绪等多种因素影响。为持续推动公司高水平发展，更好助力公司高水平发展，公司结合自身发展战略和经营发展实际情况于2025年年初</w:t>
            </w:r>
            <w:r>
              <w:rPr>
                <w:rFonts w:hint="eastAsia" w:ascii="宋体" w:hAnsi="宋体" w:eastAsia="宋体" w:cs="宋体"/>
                <w:sz w:val="24"/>
                <w:szCs w:val="32"/>
              </w:rPr>
              <w:t>完成伊通满族自治县华大生物质热电有限公司</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以下简称“华大热电”</w:t>
            </w:r>
            <w:r>
              <w:rPr>
                <w:rFonts w:hint="eastAsia" w:ascii="宋体" w:hAnsi="宋体" w:eastAsia="宋体" w:cs="宋体"/>
                <w:sz w:val="24"/>
                <w:szCs w:val="32"/>
                <w:lang w:eastAsia="zh-CN"/>
              </w:rPr>
              <w:t>）</w:t>
            </w:r>
            <w:r>
              <w:rPr>
                <w:rFonts w:hint="eastAsia" w:ascii="宋体" w:hAnsi="宋体" w:eastAsia="宋体" w:cs="宋体"/>
                <w:sz w:val="24"/>
                <w:szCs w:val="32"/>
              </w:rPr>
              <w:t>70% 股权</w:t>
            </w:r>
            <w:r>
              <w:rPr>
                <w:rFonts w:hint="eastAsia" w:ascii="宋体" w:hAnsi="宋体" w:eastAsia="宋体" w:cs="宋体"/>
                <w:sz w:val="24"/>
                <w:szCs w:val="32"/>
                <w:lang w:val="en-US" w:eastAsia="zh-CN"/>
              </w:rPr>
              <w:t>收购。</w:t>
            </w:r>
            <w:r>
              <w:rPr>
                <w:rFonts w:hint="eastAsia" w:ascii="宋体" w:hAnsi="宋体" w:eastAsia="宋体" w:cs="宋体"/>
                <w:sz w:val="24"/>
                <w:szCs w:val="32"/>
              </w:rPr>
              <w:t>收购</w:t>
            </w:r>
            <w:r>
              <w:rPr>
                <w:rFonts w:hint="eastAsia" w:ascii="宋体" w:hAnsi="宋体" w:eastAsia="宋体" w:cs="宋体"/>
                <w:sz w:val="24"/>
                <w:szCs w:val="32"/>
                <w:lang w:val="en-US" w:eastAsia="zh-CN"/>
              </w:rPr>
              <w:t>完成</w:t>
            </w:r>
            <w:r>
              <w:rPr>
                <w:rFonts w:hint="eastAsia" w:ascii="宋体" w:hAnsi="宋体" w:eastAsia="宋体" w:cs="宋体"/>
                <w:sz w:val="24"/>
                <w:szCs w:val="32"/>
              </w:rPr>
              <w:t>后，</w:t>
            </w:r>
            <w:r>
              <w:rPr>
                <w:rFonts w:hint="eastAsia" w:ascii="宋体" w:hAnsi="宋体" w:eastAsia="宋体" w:cs="宋体"/>
                <w:sz w:val="24"/>
                <w:szCs w:val="32"/>
                <w:lang w:val="en-US" w:eastAsia="zh-CN"/>
              </w:rPr>
              <w:t>华大热电生产经营稳健，与母公司</w:t>
            </w:r>
            <w:r>
              <w:rPr>
                <w:rFonts w:hint="eastAsia" w:ascii="宋体" w:hAnsi="宋体" w:eastAsia="宋体" w:cs="宋体"/>
                <w:sz w:val="24"/>
                <w:szCs w:val="32"/>
              </w:rPr>
              <w:t>形成</w:t>
            </w:r>
            <w:r>
              <w:rPr>
                <w:rFonts w:hint="eastAsia" w:ascii="宋体" w:hAnsi="宋体" w:eastAsia="宋体" w:cs="宋体"/>
                <w:sz w:val="24"/>
                <w:szCs w:val="32"/>
                <w:lang w:eastAsia="zh-CN"/>
              </w:rPr>
              <w:t>了</w:t>
            </w:r>
            <w:r>
              <w:rPr>
                <w:rFonts w:hint="eastAsia" w:ascii="宋体" w:hAnsi="宋体" w:eastAsia="宋体" w:cs="宋体"/>
                <w:sz w:val="24"/>
                <w:szCs w:val="32"/>
                <w:lang w:val="en-US" w:eastAsia="zh-CN"/>
              </w:rPr>
              <w:t>良好的</w:t>
            </w:r>
            <w:r>
              <w:rPr>
                <w:rFonts w:hint="eastAsia" w:ascii="宋体" w:hAnsi="宋体" w:eastAsia="宋体" w:cs="宋体"/>
                <w:sz w:val="24"/>
                <w:szCs w:val="32"/>
              </w:rPr>
              <w:t>协同优势。</w:t>
            </w:r>
            <w:r>
              <w:rPr>
                <w:rFonts w:hint="eastAsia" w:ascii="宋体" w:hAnsi="宋体" w:eastAsia="宋体" w:cs="宋体"/>
                <w:sz w:val="24"/>
                <w:szCs w:val="32"/>
                <w:lang w:val="en-US" w:eastAsia="zh-CN"/>
              </w:rPr>
              <w:t>同时，公司持续加码新业务，</w:t>
            </w:r>
            <w:r>
              <w:rPr>
                <w:rFonts w:hint="eastAsia" w:ascii="宋体" w:hAnsi="宋体" w:eastAsia="宋体" w:cs="宋体"/>
                <w:sz w:val="24"/>
                <w:szCs w:val="32"/>
                <w:highlight w:val="none"/>
                <w:lang w:val="en-US" w:eastAsia="zh-CN"/>
              </w:rPr>
              <w:t>目前</w:t>
            </w:r>
            <w:r>
              <w:rPr>
                <w:rFonts w:hint="eastAsia" w:ascii="宋体" w:hAnsi="宋体" w:eastAsia="宋体" w:cs="宋体"/>
                <w:sz w:val="24"/>
                <w:szCs w:val="32"/>
                <w:highlight w:val="none"/>
              </w:rPr>
              <w:t>公司</w:t>
            </w:r>
            <w:r>
              <w:rPr>
                <w:rFonts w:hint="eastAsia" w:ascii="宋体" w:hAnsi="宋体" w:eastAsia="宋体" w:cs="宋体"/>
                <w:sz w:val="24"/>
                <w:szCs w:val="32"/>
                <w:highlight w:val="none"/>
                <w:lang w:val="en-US" w:eastAsia="zh-CN"/>
              </w:rPr>
              <w:t>控股子公司浙江桦茂科技有限公司</w:t>
            </w:r>
            <w:r>
              <w:rPr>
                <w:rFonts w:hint="eastAsia" w:ascii="宋体" w:hAnsi="宋体" w:eastAsia="宋体" w:cs="宋体"/>
                <w:sz w:val="24"/>
                <w:szCs w:val="32"/>
                <w:highlight w:val="none"/>
              </w:rPr>
              <w:t>MPCVD金刚石扩产新建已经进入安装调试阶段，预计2025年底</w:t>
            </w:r>
            <w:r>
              <w:rPr>
                <w:rFonts w:hint="eastAsia" w:ascii="宋体" w:hAnsi="宋体" w:eastAsia="宋体" w:cs="宋体"/>
                <w:sz w:val="24"/>
                <w:szCs w:val="32"/>
                <w:highlight w:val="none"/>
                <w:lang w:val="en-US" w:eastAsia="zh-CN"/>
              </w:rPr>
              <w:t>新增</w:t>
            </w:r>
            <w:r>
              <w:rPr>
                <w:rFonts w:hint="eastAsia" w:ascii="宋体" w:hAnsi="宋体" w:eastAsia="宋体" w:cs="宋体"/>
                <w:sz w:val="24"/>
                <w:szCs w:val="32"/>
                <w:highlight w:val="none"/>
              </w:rPr>
              <w:t>实际产能达年产60万克拉。</w:t>
            </w:r>
          </w:p>
          <w:p w14:paraId="0B7769BE">
            <w:pPr>
              <w:spacing w:line="360" w:lineRule="auto"/>
              <w:ind w:firstLine="480" w:firstLineChars="200"/>
              <w:jc w:val="both"/>
              <w:rPr>
                <w:rFonts w:asciiTheme="minorEastAsia" w:hAnsiTheme="minorEastAsia"/>
                <w:sz w:val="24"/>
                <w:szCs w:val="24"/>
              </w:rPr>
            </w:pPr>
            <w:r>
              <w:rPr>
                <w:rFonts w:hint="eastAsia" w:ascii="宋体" w:hAnsi="宋体" w:eastAsia="宋体" w:cs="宋体"/>
                <w:sz w:val="24"/>
                <w:szCs w:val="32"/>
                <w:lang w:val="en-US" w:eastAsia="zh-CN"/>
              </w:rPr>
              <w:t>最后，</w:t>
            </w:r>
            <w:r>
              <w:rPr>
                <w:rFonts w:hint="eastAsia" w:ascii="宋体" w:hAnsi="宋体" w:eastAsia="宋体" w:cs="宋体"/>
                <w:sz w:val="24"/>
                <w:szCs w:val="32"/>
              </w:rPr>
              <w:t>公司</w:t>
            </w:r>
            <w:r>
              <w:rPr>
                <w:rFonts w:hint="eastAsia" w:ascii="宋体" w:hAnsi="宋体" w:eastAsia="宋体" w:cs="宋体"/>
                <w:sz w:val="24"/>
                <w:szCs w:val="32"/>
                <w:lang w:val="en-US" w:eastAsia="zh-CN"/>
              </w:rPr>
              <w:t>也</w:t>
            </w:r>
            <w:r>
              <w:rPr>
                <w:rFonts w:hint="eastAsia" w:ascii="宋体" w:hAnsi="宋体" w:eastAsia="宋体" w:cs="宋体"/>
                <w:sz w:val="24"/>
                <w:szCs w:val="32"/>
              </w:rPr>
              <w:t>高度重视投资者关系管理工作，通过</w:t>
            </w:r>
            <w:r>
              <w:rPr>
                <w:rFonts w:hint="eastAsia" w:ascii="宋体" w:hAnsi="宋体" w:eastAsia="宋体" w:cs="宋体"/>
                <w:sz w:val="24"/>
                <w:szCs w:val="32"/>
                <w:lang w:val="en-US" w:eastAsia="zh-CN"/>
              </w:rPr>
              <w:t>定期举办</w:t>
            </w:r>
            <w:r>
              <w:rPr>
                <w:rFonts w:hint="eastAsia" w:ascii="宋体" w:hAnsi="宋体" w:eastAsia="宋体" w:cs="宋体"/>
                <w:sz w:val="24"/>
                <w:szCs w:val="32"/>
              </w:rPr>
              <w:t>业绩说明会、上证e互动、投资者热线、机构调研等多种方式</w:t>
            </w:r>
            <w:r>
              <w:rPr>
                <w:rFonts w:hint="eastAsia" w:ascii="宋体" w:hAnsi="宋体" w:eastAsia="宋体" w:cs="宋体"/>
                <w:sz w:val="24"/>
                <w:szCs w:val="32"/>
                <w:lang w:val="en-US" w:eastAsia="zh-CN"/>
              </w:rPr>
              <w:t>与投资者进行沟通交流</w:t>
            </w:r>
            <w:r>
              <w:rPr>
                <w:rFonts w:hint="eastAsia" w:ascii="宋体" w:hAnsi="宋体" w:eastAsia="宋体" w:cs="宋体"/>
                <w:sz w:val="24"/>
                <w:szCs w:val="32"/>
              </w:rPr>
              <w:t>。未来，公司将进一步优化投资者关系管理的工作，向</w:t>
            </w:r>
            <w:r>
              <w:rPr>
                <w:rFonts w:hint="eastAsia" w:ascii="宋体" w:hAnsi="宋体" w:eastAsia="宋体" w:cs="宋体"/>
                <w:sz w:val="24"/>
                <w:szCs w:val="32"/>
                <w:lang w:val="en-US" w:eastAsia="zh-CN"/>
              </w:rPr>
              <w:t>投资者</w:t>
            </w:r>
            <w:r>
              <w:rPr>
                <w:rFonts w:hint="eastAsia" w:ascii="宋体" w:hAnsi="宋体" w:eastAsia="宋体" w:cs="宋体"/>
                <w:sz w:val="24"/>
                <w:szCs w:val="32"/>
              </w:rPr>
              <w:t>传递公司的长期投资价值；坚持</w:t>
            </w:r>
            <w:r>
              <w:rPr>
                <w:rFonts w:hint="eastAsia" w:ascii="宋体" w:hAnsi="宋体" w:eastAsia="宋体" w:cs="宋体"/>
                <w:sz w:val="24"/>
                <w:szCs w:val="32"/>
                <w:lang w:val="en-US" w:eastAsia="zh-CN"/>
              </w:rPr>
              <w:t>稳健</w:t>
            </w:r>
            <w:r>
              <w:rPr>
                <w:rFonts w:hint="eastAsia" w:ascii="宋体" w:hAnsi="宋体" w:eastAsia="宋体" w:cs="宋体"/>
                <w:sz w:val="24"/>
                <w:szCs w:val="32"/>
              </w:rPr>
              <w:t>的现金分红政策，努力为股东提供持续、稳定的投资回报。</w:t>
            </w:r>
          </w:p>
        </w:tc>
      </w:tr>
      <w:tr w14:paraId="2DAF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vAlign w:val="center"/>
          </w:tcPr>
          <w:p w14:paraId="11D84889">
            <w:pPr>
              <w:jc w:val="center"/>
              <w:rPr>
                <w:rFonts w:asciiTheme="minorEastAsia" w:hAnsiTheme="minorEastAsia"/>
                <w:b/>
                <w:sz w:val="24"/>
                <w:szCs w:val="24"/>
              </w:rPr>
            </w:pPr>
            <w:r>
              <w:rPr>
                <w:rFonts w:hint="eastAsia" w:asciiTheme="minorEastAsia" w:hAnsiTheme="minorEastAsia"/>
                <w:b/>
                <w:sz w:val="24"/>
                <w:szCs w:val="24"/>
              </w:rPr>
              <w:t>是否涉及应当披露的重大信息</w:t>
            </w:r>
          </w:p>
        </w:tc>
        <w:tc>
          <w:tcPr>
            <w:tcW w:w="6049" w:type="dxa"/>
            <w:vAlign w:val="center"/>
          </w:tcPr>
          <w:p w14:paraId="2BD6BDCE">
            <w:pPr>
              <w:rPr>
                <w:rFonts w:asciiTheme="minorEastAsia" w:hAnsiTheme="minorEastAsia"/>
                <w:sz w:val="24"/>
                <w:szCs w:val="24"/>
              </w:rPr>
            </w:pPr>
            <w:r>
              <w:rPr>
                <w:rFonts w:hint="eastAsia" w:asciiTheme="minorEastAsia" w:hAnsiTheme="minorEastAsia"/>
                <w:sz w:val="24"/>
                <w:szCs w:val="24"/>
              </w:rPr>
              <w:t>无</w:t>
            </w:r>
          </w:p>
        </w:tc>
      </w:tr>
      <w:tr w14:paraId="5E1EF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vAlign w:val="center"/>
          </w:tcPr>
          <w:p w14:paraId="706532BC">
            <w:pPr>
              <w:jc w:val="center"/>
              <w:rPr>
                <w:rFonts w:asciiTheme="minorEastAsia" w:hAnsiTheme="minorEastAsia"/>
                <w:b/>
                <w:sz w:val="24"/>
                <w:szCs w:val="24"/>
              </w:rPr>
            </w:pPr>
            <w:r>
              <w:rPr>
                <w:rFonts w:hint="eastAsia" w:asciiTheme="minorEastAsia" w:hAnsiTheme="minorEastAsia"/>
                <w:b/>
                <w:sz w:val="24"/>
                <w:szCs w:val="24"/>
              </w:rPr>
              <w:t>附件清单（如有）</w:t>
            </w:r>
          </w:p>
        </w:tc>
        <w:tc>
          <w:tcPr>
            <w:tcW w:w="6049" w:type="dxa"/>
          </w:tcPr>
          <w:p w14:paraId="29FE9BAD">
            <w:pPr>
              <w:spacing w:before="156" w:beforeLines="50" w:after="156" w:afterLines="50"/>
              <w:jc w:val="left"/>
              <w:rPr>
                <w:rFonts w:asciiTheme="minorEastAsia" w:hAnsiTheme="minorEastAsia"/>
                <w:sz w:val="24"/>
                <w:szCs w:val="24"/>
              </w:rPr>
            </w:pPr>
            <w:r>
              <w:rPr>
                <w:rFonts w:hint="eastAsia" w:asciiTheme="minorEastAsia" w:hAnsiTheme="minorEastAsia"/>
                <w:sz w:val="24"/>
                <w:szCs w:val="24"/>
              </w:rPr>
              <w:t>无</w:t>
            </w:r>
          </w:p>
        </w:tc>
      </w:tr>
      <w:tr w14:paraId="29F72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vAlign w:val="center"/>
          </w:tcPr>
          <w:p w14:paraId="3A0D12D6">
            <w:pPr>
              <w:jc w:val="center"/>
              <w:rPr>
                <w:rFonts w:asciiTheme="minorEastAsia" w:hAnsiTheme="minorEastAsia"/>
                <w:b/>
                <w:sz w:val="24"/>
                <w:szCs w:val="24"/>
              </w:rPr>
            </w:pPr>
            <w:r>
              <w:rPr>
                <w:rFonts w:hint="eastAsia" w:asciiTheme="minorEastAsia" w:hAnsiTheme="minorEastAsia"/>
                <w:b/>
                <w:sz w:val="24"/>
                <w:szCs w:val="24"/>
              </w:rPr>
              <w:t>日期</w:t>
            </w:r>
          </w:p>
        </w:tc>
        <w:tc>
          <w:tcPr>
            <w:tcW w:w="6049" w:type="dxa"/>
          </w:tcPr>
          <w:p w14:paraId="5F59E7A2">
            <w:pPr>
              <w:spacing w:before="156" w:beforeLines="50" w:after="156" w:afterLines="50"/>
              <w:jc w:val="left"/>
              <w:rPr>
                <w:rFonts w:asciiTheme="minorEastAsia" w:hAnsiTheme="minorEastAsia"/>
                <w:sz w:val="24"/>
                <w:szCs w:val="24"/>
              </w:rPr>
            </w:pPr>
            <w:r>
              <w:rPr>
                <w:rFonts w:hint="eastAsia" w:asciiTheme="minorEastAsia" w:hAnsiTheme="minorEastAsia"/>
                <w:sz w:val="24"/>
                <w:szCs w:val="24"/>
              </w:rPr>
              <w:t>202</w:t>
            </w:r>
            <w:r>
              <w:rPr>
                <w:rFonts w:hint="eastAsia" w:asciiTheme="minorEastAsia" w:hAnsiTheme="minorEastAsia"/>
                <w:sz w:val="24"/>
                <w:szCs w:val="24"/>
                <w:lang w:val="en-US" w:eastAsia="zh-CN"/>
              </w:rPr>
              <w:t>5</w:t>
            </w:r>
            <w:r>
              <w:rPr>
                <w:rFonts w:hint="eastAsia" w:asciiTheme="minorEastAsia" w:hAnsiTheme="minorEastAsia"/>
                <w:sz w:val="24"/>
                <w:szCs w:val="24"/>
              </w:rPr>
              <w:t>年</w:t>
            </w:r>
            <w:r>
              <w:rPr>
                <w:rFonts w:hint="eastAsia" w:asciiTheme="minorEastAsia" w:hAnsiTheme="minorEastAsia"/>
                <w:sz w:val="24"/>
                <w:szCs w:val="24"/>
                <w:lang w:val="en-US" w:eastAsia="zh-CN"/>
              </w:rPr>
              <w:t>11</w:t>
            </w:r>
            <w:r>
              <w:rPr>
                <w:rFonts w:hint="eastAsia" w:asciiTheme="minorEastAsia" w:hAnsiTheme="minorEastAsia"/>
                <w:sz w:val="24"/>
                <w:szCs w:val="24"/>
              </w:rPr>
              <w:t>月</w:t>
            </w:r>
            <w:r>
              <w:rPr>
                <w:rFonts w:hint="eastAsia" w:asciiTheme="minorEastAsia" w:hAnsiTheme="minorEastAsia"/>
                <w:sz w:val="24"/>
                <w:szCs w:val="24"/>
                <w:lang w:val="en-US" w:eastAsia="zh-CN"/>
              </w:rPr>
              <w:t>27</w:t>
            </w:r>
            <w:r>
              <w:rPr>
                <w:rFonts w:hint="eastAsia" w:asciiTheme="minorEastAsia" w:hAnsiTheme="minorEastAsia"/>
                <w:sz w:val="24"/>
                <w:szCs w:val="24"/>
              </w:rPr>
              <w:t>日</w:t>
            </w:r>
          </w:p>
        </w:tc>
      </w:tr>
    </w:tbl>
    <w:p w14:paraId="1E0BC3B3">
      <w:pPr>
        <w:jc w:val="center"/>
        <w:rPr>
          <w:rFonts w:asciiTheme="minorEastAsia" w:hAnsi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FB299D"/>
    <w:multiLevelType w:val="singleLevel"/>
    <w:tmpl w:val="3AFB299D"/>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B3F"/>
    <w:rsid w:val="00005702"/>
    <w:rsid w:val="00006482"/>
    <w:rsid w:val="00015BC7"/>
    <w:rsid w:val="000240B9"/>
    <w:rsid w:val="00026F9B"/>
    <w:rsid w:val="0004356C"/>
    <w:rsid w:val="00043683"/>
    <w:rsid w:val="00050EE7"/>
    <w:rsid w:val="000734CF"/>
    <w:rsid w:val="00073CF5"/>
    <w:rsid w:val="00074F9B"/>
    <w:rsid w:val="00076525"/>
    <w:rsid w:val="00076C3D"/>
    <w:rsid w:val="00077A55"/>
    <w:rsid w:val="00087CC1"/>
    <w:rsid w:val="000A5E8A"/>
    <w:rsid w:val="000B4414"/>
    <w:rsid w:val="000C2196"/>
    <w:rsid w:val="000C2299"/>
    <w:rsid w:val="000D7203"/>
    <w:rsid w:val="000F29DA"/>
    <w:rsid w:val="000F34CC"/>
    <w:rsid w:val="000F4DFE"/>
    <w:rsid w:val="000F75DE"/>
    <w:rsid w:val="001062DA"/>
    <w:rsid w:val="00111124"/>
    <w:rsid w:val="0011691A"/>
    <w:rsid w:val="0012457E"/>
    <w:rsid w:val="00136B6F"/>
    <w:rsid w:val="00150B0E"/>
    <w:rsid w:val="00151169"/>
    <w:rsid w:val="0015497A"/>
    <w:rsid w:val="00155A02"/>
    <w:rsid w:val="00156049"/>
    <w:rsid w:val="001631AB"/>
    <w:rsid w:val="00175949"/>
    <w:rsid w:val="00176DFC"/>
    <w:rsid w:val="001911F9"/>
    <w:rsid w:val="00197304"/>
    <w:rsid w:val="001A02D5"/>
    <w:rsid w:val="001A1CB0"/>
    <w:rsid w:val="001A2A5E"/>
    <w:rsid w:val="001A41B4"/>
    <w:rsid w:val="001B08EB"/>
    <w:rsid w:val="001B24CE"/>
    <w:rsid w:val="001B3DC1"/>
    <w:rsid w:val="001D6034"/>
    <w:rsid w:val="001E1E69"/>
    <w:rsid w:val="001E44EE"/>
    <w:rsid w:val="001E6709"/>
    <w:rsid w:val="001F1242"/>
    <w:rsid w:val="001F15ED"/>
    <w:rsid w:val="00207F85"/>
    <w:rsid w:val="002101B5"/>
    <w:rsid w:val="0021209C"/>
    <w:rsid w:val="00216661"/>
    <w:rsid w:val="002248A8"/>
    <w:rsid w:val="00231C58"/>
    <w:rsid w:val="002357EE"/>
    <w:rsid w:val="002445EE"/>
    <w:rsid w:val="00244AF3"/>
    <w:rsid w:val="0024743E"/>
    <w:rsid w:val="0027001C"/>
    <w:rsid w:val="00273FAB"/>
    <w:rsid w:val="002745A5"/>
    <w:rsid w:val="002906CA"/>
    <w:rsid w:val="002929EB"/>
    <w:rsid w:val="002B354C"/>
    <w:rsid w:val="002C12FF"/>
    <w:rsid w:val="002D08EF"/>
    <w:rsid w:val="002D6935"/>
    <w:rsid w:val="002E5A9D"/>
    <w:rsid w:val="002E67AA"/>
    <w:rsid w:val="002E6CEA"/>
    <w:rsid w:val="002F2E13"/>
    <w:rsid w:val="00303E1F"/>
    <w:rsid w:val="0030505D"/>
    <w:rsid w:val="00307DC0"/>
    <w:rsid w:val="00312F74"/>
    <w:rsid w:val="00315285"/>
    <w:rsid w:val="00316ABF"/>
    <w:rsid w:val="003247C3"/>
    <w:rsid w:val="0032738D"/>
    <w:rsid w:val="0032777E"/>
    <w:rsid w:val="0033203B"/>
    <w:rsid w:val="00333C1F"/>
    <w:rsid w:val="003406B0"/>
    <w:rsid w:val="00352F87"/>
    <w:rsid w:val="003546C5"/>
    <w:rsid w:val="00354856"/>
    <w:rsid w:val="00354F89"/>
    <w:rsid w:val="00356429"/>
    <w:rsid w:val="00357858"/>
    <w:rsid w:val="0035792C"/>
    <w:rsid w:val="00361050"/>
    <w:rsid w:val="00367425"/>
    <w:rsid w:val="0038534C"/>
    <w:rsid w:val="00385CAE"/>
    <w:rsid w:val="00397931"/>
    <w:rsid w:val="003A2B3F"/>
    <w:rsid w:val="003B125D"/>
    <w:rsid w:val="003B4B6A"/>
    <w:rsid w:val="003D49EB"/>
    <w:rsid w:val="003D74C9"/>
    <w:rsid w:val="003D7F9E"/>
    <w:rsid w:val="003E64F0"/>
    <w:rsid w:val="003F29B0"/>
    <w:rsid w:val="003F35D0"/>
    <w:rsid w:val="004230D5"/>
    <w:rsid w:val="00424479"/>
    <w:rsid w:val="00424848"/>
    <w:rsid w:val="00432EF8"/>
    <w:rsid w:val="004378B2"/>
    <w:rsid w:val="004557D1"/>
    <w:rsid w:val="00456562"/>
    <w:rsid w:val="00463B34"/>
    <w:rsid w:val="004679DB"/>
    <w:rsid w:val="00474592"/>
    <w:rsid w:val="00475140"/>
    <w:rsid w:val="004879FC"/>
    <w:rsid w:val="00490308"/>
    <w:rsid w:val="004A29EB"/>
    <w:rsid w:val="004A4A93"/>
    <w:rsid w:val="004A4E66"/>
    <w:rsid w:val="004B3CD5"/>
    <w:rsid w:val="004C0A77"/>
    <w:rsid w:val="004C5485"/>
    <w:rsid w:val="004D2853"/>
    <w:rsid w:val="004E092C"/>
    <w:rsid w:val="004E2C09"/>
    <w:rsid w:val="004E2C37"/>
    <w:rsid w:val="004E310B"/>
    <w:rsid w:val="004F5DA9"/>
    <w:rsid w:val="00512AC4"/>
    <w:rsid w:val="00516709"/>
    <w:rsid w:val="0052206F"/>
    <w:rsid w:val="0053202A"/>
    <w:rsid w:val="005329E3"/>
    <w:rsid w:val="00536767"/>
    <w:rsid w:val="00537CD4"/>
    <w:rsid w:val="00540CC1"/>
    <w:rsid w:val="005457CF"/>
    <w:rsid w:val="005613C6"/>
    <w:rsid w:val="005640A2"/>
    <w:rsid w:val="005644B3"/>
    <w:rsid w:val="00564770"/>
    <w:rsid w:val="00567DE7"/>
    <w:rsid w:val="00575719"/>
    <w:rsid w:val="0057764B"/>
    <w:rsid w:val="00580F55"/>
    <w:rsid w:val="00592047"/>
    <w:rsid w:val="0059270B"/>
    <w:rsid w:val="00594220"/>
    <w:rsid w:val="005A1D92"/>
    <w:rsid w:val="005B05F6"/>
    <w:rsid w:val="005B68F6"/>
    <w:rsid w:val="005C0171"/>
    <w:rsid w:val="005C349C"/>
    <w:rsid w:val="005D1A1C"/>
    <w:rsid w:val="005D2607"/>
    <w:rsid w:val="005E6A87"/>
    <w:rsid w:val="005E7796"/>
    <w:rsid w:val="005F07F7"/>
    <w:rsid w:val="005F0943"/>
    <w:rsid w:val="005F1525"/>
    <w:rsid w:val="005F558C"/>
    <w:rsid w:val="005F728A"/>
    <w:rsid w:val="00614736"/>
    <w:rsid w:val="0064034E"/>
    <w:rsid w:val="006465C8"/>
    <w:rsid w:val="00650636"/>
    <w:rsid w:val="0065528B"/>
    <w:rsid w:val="006568DA"/>
    <w:rsid w:val="00671986"/>
    <w:rsid w:val="0067562A"/>
    <w:rsid w:val="00684E84"/>
    <w:rsid w:val="006A3344"/>
    <w:rsid w:val="006A3751"/>
    <w:rsid w:val="006A5E55"/>
    <w:rsid w:val="006A7299"/>
    <w:rsid w:val="006C4A1E"/>
    <w:rsid w:val="006D2779"/>
    <w:rsid w:val="006D68F8"/>
    <w:rsid w:val="006E35EC"/>
    <w:rsid w:val="006E689A"/>
    <w:rsid w:val="006F5444"/>
    <w:rsid w:val="00705E69"/>
    <w:rsid w:val="00720254"/>
    <w:rsid w:val="0074412D"/>
    <w:rsid w:val="007462E9"/>
    <w:rsid w:val="00755928"/>
    <w:rsid w:val="007571D3"/>
    <w:rsid w:val="00757CD0"/>
    <w:rsid w:val="00773226"/>
    <w:rsid w:val="00775973"/>
    <w:rsid w:val="00790598"/>
    <w:rsid w:val="00794386"/>
    <w:rsid w:val="0079460A"/>
    <w:rsid w:val="007A4E5D"/>
    <w:rsid w:val="007B07B7"/>
    <w:rsid w:val="007C43C4"/>
    <w:rsid w:val="007C6DD7"/>
    <w:rsid w:val="007D1EAA"/>
    <w:rsid w:val="007D6813"/>
    <w:rsid w:val="007E4446"/>
    <w:rsid w:val="00804D24"/>
    <w:rsid w:val="008139F5"/>
    <w:rsid w:val="008169DE"/>
    <w:rsid w:val="0082163F"/>
    <w:rsid w:val="00825368"/>
    <w:rsid w:val="008424AB"/>
    <w:rsid w:val="0084643B"/>
    <w:rsid w:val="008535FF"/>
    <w:rsid w:val="00862A82"/>
    <w:rsid w:val="00864453"/>
    <w:rsid w:val="00870F0E"/>
    <w:rsid w:val="00876CBF"/>
    <w:rsid w:val="00876E40"/>
    <w:rsid w:val="00894A54"/>
    <w:rsid w:val="008A1DDF"/>
    <w:rsid w:val="008A7787"/>
    <w:rsid w:val="008B4B67"/>
    <w:rsid w:val="008B67A9"/>
    <w:rsid w:val="008C29C1"/>
    <w:rsid w:val="008C4206"/>
    <w:rsid w:val="008D2295"/>
    <w:rsid w:val="008D4588"/>
    <w:rsid w:val="008D49BA"/>
    <w:rsid w:val="008D531B"/>
    <w:rsid w:val="008E3D60"/>
    <w:rsid w:val="008E4C8A"/>
    <w:rsid w:val="008E6179"/>
    <w:rsid w:val="008F2B41"/>
    <w:rsid w:val="008F3499"/>
    <w:rsid w:val="00904862"/>
    <w:rsid w:val="0091181B"/>
    <w:rsid w:val="00922143"/>
    <w:rsid w:val="009235F4"/>
    <w:rsid w:val="0092688B"/>
    <w:rsid w:val="00927C7B"/>
    <w:rsid w:val="00937F72"/>
    <w:rsid w:val="00944881"/>
    <w:rsid w:val="00950F32"/>
    <w:rsid w:val="00966C7E"/>
    <w:rsid w:val="0097195A"/>
    <w:rsid w:val="0097356C"/>
    <w:rsid w:val="00992B47"/>
    <w:rsid w:val="009B2EEE"/>
    <w:rsid w:val="009B3103"/>
    <w:rsid w:val="009C236F"/>
    <w:rsid w:val="009C5344"/>
    <w:rsid w:val="009C6A20"/>
    <w:rsid w:val="009C7751"/>
    <w:rsid w:val="009D0B07"/>
    <w:rsid w:val="009D10E8"/>
    <w:rsid w:val="009E3F5A"/>
    <w:rsid w:val="009E647B"/>
    <w:rsid w:val="009F3455"/>
    <w:rsid w:val="009F5C63"/>
    <w:rsid w:val="009F7710"/>
    <w:rsid w:val="00A0255F"/>
    <w:rsid w:val="00A029FC"/>
    <w:rsid w:val="00A0582E"/>
    <w:rsid w:val="00A130DA"/>
    <w:rsid w:val="00A25421"/>
    <w:rsid w:val="00A2553A"/>
    <w:rsid w:val="00A2588E"/>
    <w:rsid w:val="00A26DD3"/>
    <w:rsid w:val="00A411F3"/>
    <w:rsid w:val="00A4544C"/>
    <w:rsid w:val="00A51ECF"/>
    <w:rsid w:val="00A74F4F"/>
    <w:rsid w:val="00A751CD"/>
    <w:rsid w:val="00A75CFE"/>
    <w:rsid w:val="00A80FE0"/>
    <w:rsid w:val="00A84399"/>
    <w:rsid w:val="00A95AF5"/>
    <w:rsid w:val="00AA45B0"/>
    <w:rsid w:val="00AB1E4A"/>
    <w:rsid w:val="00AB5364"/>
    <w:rsid w:val="00AB667C"/>
    <w:rsid w:val="00AC1D53"/>
    <w:rsid w:val="00AE1EFA"/>
    <w:rsid w:val="00AF2EAF"/>
    <w:rsid w:val="00AF4561"/>
    <w:rsid w:val="00AF459C"/>
    <w:rsid w:val="00B428EB"/>
    <w:rsid w:val="00B57D82"/>
    <w:rsid w:val="00B609C1"/>
    <w:rsid w:val="00B6160C"/>
    <w:rsid w:val="00B64B6C"/>
    <w:rsid w:val="00B74774"/>
    <w:rsid w:val="00B750CE"/>
    <w:rsid w:val="00B80A01"/>
    <w:rsid w:val="00B8306D"/>
    <w:rsid w:val="00B8534A"/>
    <w:rsid w:val="00B97D02"/>
    <w:rsid w:val="00B97DCE"/>
    <w:rsid w:val="00BB3ECA"/>
    <w:rsid w:val="00BC4668"/>
    <w:rsid w:val="00BC46B3"/>
    <w:rsid w:val="00BD0836"/>
    <w:rsid w:val="00BD43FD"/>
    <w:rsid w:val="00BD6693"/>
    <w:rsid w:val="00BD7C88"/>
    <w:rsid w:val="00BE201C"/>
    <w:rsid w:val="00BE42A5"/>
    <w:rsid w:val="00C061D7"/>
    <w:rsid w:val="00C12866"/>
    <w:rsid w:val="00C15100"/>
    <w:rsid w:val="00C20C3E"/>
    <w:rsid w:val="00C26B13"/>
    <w:rsid w:val="00C27D00"/>
    <w:rsid w:val="00C32A3E"/>
    <w:rsid w:val="00C32A6C"/>
    <w:rsid w:val="00C417A1"/>
    <w:rsid w:val="00C45A9E"/>
    <w:rsid w:val="00C465E6"/>
    <w:rsid w:val="00C50BF7"/>
    <w:rsid w:val="00C56F34"/>
    <w:rsid w:val="00C577FB"/>
    <w:rsid w:val="00C841D9"/>
    <w:rsid w:val="00C877BF"/>
    <w:rsid w:val="00C87C47"/>
    <w:rsid w:val="00C91406"/>
    <w:rsid w:val="00C93CC3"/>
    <w:rsid w:val="00C9421E"/>
    <w:rsid w:val="00C94636"/>
    <w:rsid w:val="00CB56AD"/>
    <w:rsid w:val="00CB56E4"/>
    <w:rsid w:val="00CC6034"/>
    <w:rsid w:val="00CD7CDA"/>
    <w:rsid w:val="00CE257C"/>
    <w:rsid w:val="00CE5600"/>
    <w:rsid w:val="00CF1135"/>
    <w:rsid w:val="00D0301B"/>
    <w:rsid w:val="00D036C4"/>
    <w:rsid w:val="00D05091"/>
    <w:rsid w:val="00D054AF"/>
    <w:rsid w:val="00D055C6"/>
    <w:rsid w:val="00D06015"/>
    <w:rsid w:val="00D335DF"/>
    <w:rsid w:val="00D35554"/>
    <w:rsid w:val="00D3610A"/>
    <w:rsid w:val="00D37398"/>
    <w:rsid w:val="00D5133D"/>
    <w:rsid w:val="00D541BA"/>
    <w:rsid w:val="00D606EF"/>
    <w:rsid w:val="00D66710"/>
    <w:rsid w:val="00D81CA8"/>
    <w:rsid w:val="00D85EE3"/>
    <w:rsid w:val="00D87D4E"/>
    <w:rsid w:val="00D962A7"/>
    <w:rsid w:val="00DA095A"/>
    <w:rsid w:val="00DA67B9"/>
    <w:rsid w:val="00DB1028"/>
    <w:rsid w:val="00DB27AE"/>
    <w:rsid w:val="00DB7B9C"/>
    <w:rsid w:val="00DC013D"/>
    <w:rsid w:val="00DD1878"/>
    <w:rsid w:val="00DD3B8A"/>
    <w:rsid w:val="00DE1448"/>
    <w:rsid w:val="00DE2459"/>
    <w:rsid w:val="00DE333A"/>
    <w:rsid w:val="00DF799A"/>
    <w:rsid w:val="00E12263"/>
    <w:rsid w:val="00E13E1E"/>
    <w:rsid w:val="00E14383"/>
    <w:rsid w:val="00E224E6"/>
    <w:rsid w:val="00E236B0"/>
    <w:rsid w:val="00E25711"/>
    <w:rsid w:val="00E53A67"/>
    <w:rsid w:val="00E619AC"/>
    <w:rsid w:val="00E62018"/>
    <w:rsid w:val="00E6586E"/>
    <w:rsid w:val="00E70DC1"/>
    <w:rsid w:val="00E74F3E"/>
    <w:rsid w:val="00E75923"/>
    <w:rsid w:val="00E77790"/>
    <w:rsid w:val="00E778FA"/>
    <w:rsid w:val="00E85A33"/>
    <w:rsid w:val="00E9133C"/>
    <w:rsid w:val="00EA1929"/>
    <w:rsid w:val="00EA1C28"/>
    <w:rsid w:val="00EA3F0F"/>
    <w:rsid w:val="00EB4CAE"/>
    <w:rsid w:val="00EB52FF"/>
    <w:rsid w:val="00EC42DC"/>
    <w:rsid w:val="00ED10C3"/>
    <w:rsid w:val="00EE7505"/>
    <w:rsid w:val="00EF0B4F"/>
    <w:rsid w:val="00EF4F8A"/>
    <w:rsid w:val="00F01805"/>
    <w:rsid w:val="00F23D34"/>
    <w:rsid w:val="00F3210E"/>
    <w:rsid w:val="00F455BA"/>
    <w:rsid w:val="00F46998"/>
    <w:rsid w:val="00F46ED7"/>
    <w:rsid w:val="00F55F17"/>
    <w:rsid w:val="00F61E4D"/>
    <w:rsid w:val="00F648B4"/>
    <w:rsid w:val="00F6656B"/>
    <w:rsid w:val="00F7285D"/>
    <w:rsid w:val="00F85441"/>
    <w:rsid w:val="00F952C7"/>
    <w:rsid w:val="00FC01E8"/>
    <w:rsid w:val="00FC072A"/>
    <w:rsid w:val="00FC6FE9"/>
    <w:rsid w:val="00FD3AED"/>
    <w:rsid w:val="00FE2847"/>
    <w:rsid w:val="00FF6664"/>
    <w:rsid w:val="04F217BD"/>
    <w:rsid w:val="06FB6C80"/>
    <w:rsid w:val="084C026A"/>
    <w:rsid w:val="086F1377"/>
    <w:rsid w:val="08F24F20"/>
    <w:rsid w:val="10237A50"/>
    <w:rsid w:val="10945158"/>
    <w:rsid w:val="14060DE1"/>
    <w:rsid w:val="18756535"/>
    <w:rsid w:val="1C1B5646"/>
    <w:rsid w:val="1D19261E"/>
    <w:rsid w:val="23733E0A"/>
    <w:rsid w:val="28065483"/>
    <w:rsid w:val="2A545CCF"/>
    <w:rsid w:val="2B8E1990"/>
    <w:rsid w:val="2C695F59"/>
    <w:rsid w:val="2F285D28"/>
    <w:rsid w:val="32917FB8"/>
    <w:rsid w:val="332806B8"/>
    <w:rsid w:val="335334BF"/>
    <w:rsid w:val="3AD60AE7"/>
    <w:rsid w:val="3CB925E5"/>
    <w:rsid w:val="3CE15956"/>
    <w:rsid w:val="3DBF00CF"/>
    <w:rsid w:val="3F9966FE"/>
    <w:rsid w:val="45E306D3"/>
    <w:rsid w:val="470903B2"/>
    <w:rsid w:val="47400E76"/>
    <w:rsid w:val="4824455F"/>
    <w:rsid w:val="48D554A2"/>
    <w:rsid w:val="48DD765B"/>
    <w:rsid w:val="49F7474D"/>
    <w:rsid w:val="4DC94652"/>
    <w:rsid w:val="4F934F18"/>
    <w:rsid w:val="516C3EA3"/>
    <w:rsid w:val="53186ED1"/>
    <w:rsid w:val="548E5CAE"/>
    <w:rsid w:val="55EA540F"/>
    <w:rsid w:val="59DB7355"/>
    <w:rsid w:val="5A9D2736"/>
    <w:rsid w:val="5CF92150"/>
    <w:rsid w:val="643C1282"/>
    <w:rsid w:val="668629E3"/>
    <w:rsid w:val="6A9839C0"/>
    <w:rsid w:val="70C16E68"/>
    <w:rsid w:val="72B76128"/>
    <w:rsid w:val="72E82B69"/>
    <w:rsid w:val="77BA09E4"/>
    <w:rsid w:val="7A7E219D"/>
    <w:rsid w:val="7ABE6A3D"/>
    <w:rsid w:val="7C1C1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rPr>
  </w:style>
  <w:style w:type="character" w:styleId="9">
    <w:name w:val="Hyperlink"/>
    <w:basedOn w:val="7"/>
    <w:semiHidden/>
    <w:unhideWhenUsed/>
    <w:qFormat/>
    <w:uiPriority w:val="99"/>
    <w:rPr>
      <w:color w:val="0000FF"/>
      <w:u w:val="singl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2994</Words>
  <Characters>3093</Characters>
  <Lines>17</Lines>
  <Paragraphs>4</Paragraphs>
  <TotalTime>1</TotalTime>
  <ScaleCrop>false</ScaleCrop>
  <LinksUpToDate>false</LinksUpToDate>
  <CharactersWithSpaces>3162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2024-09-13T04:47:00Z</dcterms:created>
  <dc:creator>Windows 用户</dc:creator>
  <cp:lastModifiedBy>程雅民</cp:lastModifiedBy>
  <dcterms:modified xsi:type="dcterms:W3CDTF">2025-11-27T07:44:37Z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eyJoZGlkIjoiMzNhYzUyMGY1ZjY1YmZmNjRmM2QxZWYzM2NkZDVhYTEiLCJ1c2VySWQiOiI2MjI5Mjc4MzcifQ==</vt:lpwstr>
  </property>
  <property fmtid="{D5CDD505-2E9C-101B-9397-08002B2CF9AE}" pid="3" name="KSOProductBuildVer">
    <vt:lpwstr>2052-12.1.0.23542</vt:lpwstr>
  </property>
  <property fmtid="{D5CDD505-2E9C-101B-9397-08002B2CF9AE}" pid="4" name="ICV">
    <vt:lpwstr>941FF025E9ED427FA4CD8BE65126C4CD_12</vt:lpwstr>
  </property>
</Properties>
</file>