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55E9">
      <w:pPr>
        <w:keepNext/>
        <w:keepLines/>
        <w:spacing w:before="260" w:after="260"/>
        <w:rPr>
          <w:rFonts w:ascii="宋体" w:hAnsi="宋体" w:cs="Times New Roman"/>
          <w:b/>
          <w:bCs/>
          <w:iCs/>
          <w:sz w:val="24"/>
          <w:szCs w:val="24"/>
        </w:rPr>
      </w:pPr>
      <w:r>
        <w:rPr>
          <w:rFonts w:hint="eastAsia" w:ascii="宋体" w:hAnsi="宋体" w:cs="Times New Roman"/>
          <w:b/>
          <w:bCs/>
          <w:iCs/>
          <w:sz w:val="24"/>
          <w:szCs w:val="24"/>
        </w:rPr>
        <w:t>证券代码：</w:t>
      </w:r>
      <w:r>
        <w:rPr>
          <w:rFonts w:ascii="宋体" w:hAnsi="宋体" w:cs="Times New Roman"/>
          <w:b/>
          <w:bCs/>
          <w:iCs/>
          <w:sz w:val="24"/>
          <w:szCs w:val="24"/>
        </w:rPr>
        <w:t>60</w:t>
      </w:r>
      <w:r>
        <w:rPr>
          <w:rFonts w:hint="eastAsia" w:ascii="宋体" w:hAnsi="宋体" w:cs="Times New Roman"/>
          <w:b/>
          <w:bCs/>
          <w:iCs/>
          <w:sz w:val="24"/>
          <w:szCs w:val="24"/>
        </w:rPr>
        <w:t>5488</w:t>
      </w:r>
      <w:r>
        <w:rPr>
          <w:rFonts w:ascii="宋体" w:hAnsi="宋体" w:cs="Times New Roman"/>
          <w:b/>
          <w:bCs/>
          <w:iCs/>
          <w:sz w:val="24"/>
          <w:szCs w:val="24"/>
        </w:rPr>
        <w:t xml:space="preserve"> </w:t>
      </w:r>
      <w:r>
        <w:rPr>
          <w:rFonts w:hint="eastAsia" w:ascii="宋体" w:hAnsi="宋体" w:cs="Times New Roman"/>
          <w:b/>
          <w:bCs/>
          <w:iCs/>
          <w:sz w:val="24"/>
          <w:szCs w:val="24"/>
        </w:rPr>
        <w:t xml:space="preserve">                                证券简称：福莱新材</w:t>
      </w:r>
    </w:p>
    <w:p w14:paraId="77829CF0">
      <w:pPr>
        <w:keepNext/>
        <w:keepLines/>
        <w:spacing w:before="260" w:after="260"/>
        <w:rPr>
          <w:rFonts w:ascii="宋体" w:hAnsi="宋体" w:cs="Times New Roman"/>
          <w:b/>
          <w:bCs/>
          <w:iCs/>
          <w:sz w:val="24"/>
          <w:szCs w:val="24"/>
        </w:rPr>
      </w:pPr>
      <w:r>
        <w:rPr>
          <w:rFonts w:hint="eastAsia" w:ascii="宋体" w:hAnsi="宋体" w:cs="Times New Roman"/>
          <w:b/>
          <w:bCs/>
          <w:iCs/>
          <w:sz w:val="24"/>
          <w:szCs w:val="24"/>
        </w:rPr>
        <w:t>债券代码：111012                                 债券简称：福新转债</w:t>
      </w:r>
    </w:p>
    <w:p w14:paraId="68CBA676">
      <w:pPr>
        <w:keepNext/>
        <w:keepLines/>
        <w:spacing w:before="156" w:beforeLines="50" w:after="156" w:afterLines="50" w:line="360" w:lineRule="auto"/>
        <w:jc w:val="center"/>
        <w:rPr>
          <w:rFonts w:ascii="宋体" w:hAnsi="宋体" w:cs="Times New Roman"/>
          <w:b/>
          <w:bCs/>
          <w:sz w:val="32"/>
          <w:szCs w:val="32"/>
        </w:rPr>
      </w:pPr>
      <w:r>
        <w:rPr>
          <w:rFonts w:hint="eastAsia" w:ascii="宋体" w:hAnsi="宋体" w:cs="Times New Roman"/>
          <w:b/>
          <w:bCs/>
          <w:sz w:val="32"/>
          <w:szCs w:val="32"/>
        </w:rPr>
        <w:t>浙江福莱新材料股份有限公司</w:t>
      </w:r>
    </w:p>
    <w:p w14:paraId="67BDDFB2">
      <w:pPr>
        <w:keepNext/>
        <w:keepLines/>
        <w:spacing w:before="156" w:beforeLines="50" w:after="156" w:afterLines="50" w:line="360" w:lineRule="auto"/>
        <w:jc w:val="center"/>
        <w:rPr>
          <w:rFonts w:ascii="宋体" w:hAnsi="宋体" w:cs="Times New Roman"/>
          <w:b/>
          <w:bCs/>
          <w:sz w:val="32"/>
          <w:szCs w:val="32"/>
        </w:rPr>
      </w:pPr>
      <w:r>
        <w:rPr>
          <w:rFonts w:hint="eastAsia" w:ascii="宋体" w:hAnsi="宋体" w:cs="Times New Roman"/>
          <w:b/>
          <w:bCs/>
          <w:sz w:val="32"/>
          <w:szCs w:val="32"/>
        </w:rPr>
        <w:t>投资者关系活动记录表</w:t>
      </w:r>
    </w:p>
    <w:p w14:paraId="7A3B9FE7">
      <w:pPr>
        <w:keepNext/>
        <w:keepLines/>
        <w:spacing w:before="260" w:after="260" w:line="360" w:lineRule="auto"/>
        <w:jc w:val="left"/>
        <w:outlineLvl w:val="1"/>
        <w:rPr>
          <w:rFonts w:ascii="宋体" w:hAnsi="宋体" w:cs="Times New Roman"/>
          <w:b/>
          <w:bCs/>
          <w:sz w:val="24"/>
          <w:szCs w:val="24"/>
        </w:rPr>
      </w:pPr>
      <w:r>
        <w:rPr>
          <w:rFonts w:hint="eastAsia" w:ascii="宋体" w:hAnsi="宋体" w:cs="Times New Roman"/>
          <w:b/>
          <w:bCs/>
          <w:sz w:val="24"/>
          <w:szCs w:val="24"/>
        </w:rPr>
        <w:t>编号：2025-009</w:t>
      </w:r>
    </w:p>
    <w:tbl>
      <w:tblPr>
        <w:tblStyle w:val="11"/>
        <w:tblW w:w="89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258"/>
      </w:tblGrid>
      <w:tr w14:paraId="0BBC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5C7264DE">
            <w:pPr>
              <w:spacing w:line="360" w:lineRule="auto"/>
              <w:jc w:val="left"/>
              <w:rPr>
                <w:rFonts w:ascii="宋体" w:hAnsi="宋体" w:cs="Times New Roman"/>
                <w:b/>
                <w:bCs/>
                <w:iCs/>
                <w:sz w:val="24"/>
                <w:szCs w:val="24"/>
              </w:rPr>
            </w:pPr>
            <w:r>
              <w:rPr>
                <w:rFonts w:hint="eastAsia" w:ascii="宋体" w:hAnsi="宋体" w:cs="Times New Roman"/>
                <w:b/>
                <w:bCs/>
                <w:iCs/>
                <w:sz w:val="24"/>
                <w:szCs w:val="24"/>
              </w:rPr>
              <w:t>投资者关系活动类别</w:t>
            </w:r>
          </w:p>
        </w:tc>
        <w:tc>
          <w:tcPr>
            <w:tcW w:w="7258" w:type="dxa"/>
          </w:tcPr>
          <w:p w14:paraId="2B946D8B">
            <w:pPr>
              <w:spacing w:line="360" w:lineRule="auto"/>
              <w:rPr>
                <w:rFonts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特定对象调研        </w:t>
            </w:r>
            <w:r>
              <w:rPr>
                <w:rFonts w:hint="eastAsia" w:ascii="宋体" w:hAnsi="宋体" w:cs="Times New Roman"/>
                <w:bCs/>
                <w:iCs/>
                <w:sz w:val="24"/>
                <w:szCs w:val="24"/>
              </w:rPr>
              <w:t>□</w:t>
            </w:r>
            <w:r>
              <w:rPr>
                <w:rFonts w:hint="eastAsia" w:ascii="宋体" w:hAnsi="宋体" w:cs="Times New Roman"/>
                <w:sz w:val="24"/>
                <w:szCs w:val="24"/>
              </w:rPr>
              <w:t>分析师会议</w:t>
            </w:r>
          </w:p>
          <w:p w14:paraId="783B3F9D">
            <w:pPr>
              <w:spacing w:line="360" w:lineRule="auto"/>
              <w:rPr>
                <w:rFonts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媒体采访            </w:t>
            </w:r>
            <w:r>
              <w:rPr>
                <w:rFonts w:hint="eastAsia" w:ascii="宋体" w:hAnsi="宋体" w:cs="Times New Roman"/>
                <w:bCs/>
                <w:iCs/>
                <w:sz w:val="24"/>
                <w:szCs w:val="24"/>
              </w:rPr>
              <w:t>□</w:t>
            </w:r>
            <w:r>
              <w:rPr>
                <w:rFonts w:hint="eastAsia" w:ascii="宋体" w:hAnsi="宋体" w:cs="Times New Roman"/>
                <w:sz w:val="24"/>
                <w:szCs w:val="24"/>
              </w:rPr>
              <w:t>业绩说明会</w:t>
            </w:r>
          </w:p>
          <w:p w14:paraId="14046D3D">
            <w:pPr>
              <w:spacing w:line="360" w:lineRule="auto"/>
              <w:rPr>
                <w:rFonts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新闻发布会          </w:t>
            </w:r>
            <w:r>
              <w:rPr>
                <w:rFonts w:hint="eastAsia" w:ascii="宋体" w:hAnsi="宋体"/>
                <w:sz w:val="24"/>
                <w:szCs w:val="24"/>
              </w:rPr>
              <w:t>■</w:t>
            </w:r>
            <w:r>
              <w:rPr>
                <w:rFonts w:hint="eastAsia" w:ascii="宋体" w:hAnsi="宋体" w:cs="Times New Roman"/>
                <w:sz w:val="24"/>
                <w:szCs w:val="24"/>
              </w:rPr>
              <w:t>路演活动</w:t>
            </w:r>
          </w:p>
          <w:p w14:paraId="08DF72BD">
            <w:pPr>
              <w:tabs>
                <w:tab w:val="left" w:pos="2690"/>
                <w:tab w:val="center" w:pos="3199"/>
              </w:tabs>
              <w:spacing w:line="360" w:lineRule="auto"/>
              <w:rPr>
                <w:rFonts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现场参观 </w:t>
            </w:r>
            <w:r>
              <w:rPr>
                <w:rFonts w:ascii="宋体" w:hAnsi="宋体" w:cs="Times New Roman"/>
                <w:sz w:val="24"/>
                <w:szCs w:val="24"/>
              </w:rPr>
              <w:t xml:space="preserve">           </w:t>
            </w:r>
            <w:r>
              <w:rPr>
                <w:rFonts w:hint="eastAsia" w:ascii="宋体" w:hAnsi="宋体" w:cs="Times New Roman"/>
                <w:bCs/>
                <w:iCs/>
                <w:sz w:val="24"/>
                <w:szCs w:val="24"/>
              </w:rPr>
              <w:t>□</w:t>
            </w:r>
            <w:r>
              <w:rPr>
                <w:rFonts w:hint="eastAsia" w:ascii="宋体" w:hAnsi="宋体" w:cs="Times New Roman"/>
                <w:sz w:val="24"/>
                <w:szCs w:val="24"/>
              </w:rPr>
              <w:t>电话会议</w:t>
            </w:r>
          </w:p>
          <w:p w14:paraId="7F416B43">
            <w:pPr>
              <w:tabs>
                <w:tab w:val="center" w:pos="3199"/>
              </w:tabs>
              <w:spacing w:line="360" w:lineRule="auto"/>
              <w:rPr>
                <w:rFonts w:ascii="宋体" w:hAnsi="宋体" w:cs="Times New Roman"/>
                <w:bCs/>
                <w:iCs/>
                <w:sz w:val="24"/>
                <w:szCs w:val="24"/>
                <w:u w:val="single"/>
              </w:rPr>
            </w:pPr>
            <w:r>
              <w:rPr>
                <w:rFonts w:hint="eastAsia" w:ascii="宋体" w:hAnsi="宋体"/>
                <w:sz w:val="24"/>
                <w:szCs w:val="24"/>
              </w:rPr>
              <w:t>■</w:t>
            </w:r>
            <w:r>
              <w:rPr>
                <w:rFonts w:hint="eastAsia" w:ascii="宋体" w:hAnsi="宋体" w:cs="Times New Roman"/>
                <w:sz w:val="24"/>
                <w:szCs w:val="24"/>
              </w:rPr>
              <w:t>其他</w:t>
            </w:r>
            <w:r>
              <w:rPr>
                <w:rFonts w:hint="eastAsia" w:ascii="宋体" w:hAnsi="宋体" w:cs="Times New Roman"/>
                <w:sz w:val="24"/>
                <w:szCs w:val="24"/>
                <w:u w:val="single"/>
              </w:rPr>
              <w:t xml:space="preserve">  线上   </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p>
        </w:tc>
      </w:tr>
      <w:tr w14:paraId="762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693B8C89">
            <w:pPr>
              <w:pStyle w:val="9"/>
              <w:rPr>
                <w:rFonts w:cs="Times New Roman"/>
                <w:b/>
                <w:bCs/>
                <w:iCs/>
              </w:rPr>
            </w:pPr>
            <w:r>
              <w:rPr>
                <w:rFonts w:hint="eastAsia" w:cs="Times New Roman"/>
                <w:b/>
                <w:bCs/>
                <w:iCs/>
                <w:kern w:val="2"/>
              </w:rPr>
              <w:t>参与单位名称</w:t>
            </w:r>
          </w:p>
        </w:tc>
        <w:tc>
          <w:tcPr>
            <w:tcW w:w="7258" w:type="dxa"/>
          </w:tcPr>
          <w:p w14:paraId="2C8B46FA">
            <w:pPr>
              <w:spacing w:line="360" w:lineRule="auto"/>
              <w:rPr>
                <w:rFonts w:ascii="宋体" w:hAnsi="宋体" w:cs="Times New Roman"/>
                <w:bCs/>
                <w:iCs/>
                <w:sz w:val="24"/>
                <w:szCs w:val="24"/>
              </w:rPr>
            </w:pPr>
            <w:r>
              <w:rPr>
                <w:rFonts w:hint="eastAsia" w:ascii="宋体" w:hAnsi="宋体" w:cs="Times New Roman"/>
                <w:bCs/>
                <w:iCs/>
                <w:sz w:val="24"/>
                <w:szCs w:val="24"/>
                <w:lang w:val="en-US" w:eastAsia="zh-CN"/>
              </w:rPr>
              <w:t>114</w:t>
            </w:r>
            <w:r>
              <w:rPr>
                <w:rFonts w:hint="eastAsia" w:ascii="宋体" w:hAnsi="宋体" w:cs="Times New Roman"/>
                <w:bCs/>
                <w:iCs/>
                <w:sz w:val="24"/>
                <w:szCs w:val="24"/>
              </w:rPr>
              <w:t xml:space="preserve">家机构 </w:t>
            </w:r>
            <w:r>
              <w:rPr>
                <w:rFonts w:hint="eastAsia" w:ascii="宋体" w:hAnsi="宋体" w:cs="Times New Roman"/>
                <w:bCs/>
                <w:iCs/>
                <w:sz w:val="24"/>
                <w:szCs w:val="24"/>
                <w:highlight w:val="none"/>
                <w:lang w:val="en-US" w:eastAsia="zh-CN"/>
              </w:rPr>
              <w:t>291</w:t>
            </w:r>
            <w:r>
              <w:rPr>
                <w:rFonts w:hint="eastAsia" w:ascii="宋体" w:hAnsi="宋体" w:cs="Times New Roman"/>
                <w:bCs/>
                <w:iCs/>
                <w:sz w:val="24"/>
                <w:szCs w:val="24"/>
              </w:rPr>
              <w:t>名参与人员，详见附件清单（排名不分先后）</w:t>
            </w:r>
          </w:p>
        </w:tc>
      </w:tr>
      <w:tr w14:paraId="61DA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7769CCB0">
            <w:pPr>
              <w:spacing w:line="360" w:lineRule="auto"/>
              <w:jc w:val="left"/>
              <w:rPr>
                <w:rFonts w:ascii="宋体" w:hAnsi="宋体" w:cs="Times New Roman"/>
                <w:b/>
                <w:bCs/>
                <w:iCs/>
                <w:sz w:val="24"/>
                <w:szCs w:val="24"/>
              </w:rPr>
            </w:pPr>
            <w:r>
              <w:rPr>
                <w:rFonts w:hint="eastAsia" w:ascii="宋体" w:hAnsi="宋体" w:cs="Times New Roman"/>
                <w:b/>
                <w:bCs/>
                <w:iCs/>
                <w:sz w:val="24"/>
                <w:szCs w:val="24"/>
              </w:rPr>
              <w:t>时间</w:t>
            </w:r>
          </w:p>
        </w:tc>
        <w:tc>
          <w:tcPr>
            <w:tcW w:w="7258" w:type="dxa"/>
          </w:tcPr>
          <w:p w14:paraId="30DE7925">
            <w:pPr>
              <w:spacing w:line="360" w:lineRule="auto"/>
              <w:rPr>
                <w:rFonts w:ascii="宋体" w:hAnsi="宋体" w:cs="Times New Roman"/>
                <w:b/>
                <w:iCs/>
                <w:sz w:val="24"/>
                <w:szCs w:val="24"/>
              </w:rPr>
            </w:pPr>
            <w:r>
              <w:rPr>
                <w:rFonts w:hint="eastAsia" w:ascii="宋体" w:hAnsi="宋体"/>
                <w:sz w:val="24"/>
              </w:rPr>
              <w:t>2025年11月27日 15:00-1</w:t>
            </w:r>
            <w:r>
              <w:rPr>
                <w:rFonts w:ascii="宋体" w:hAnsi="宋体"/>
                <w:sz w:val="24"/>
              </w:rPr>
              <w:t>7</w:t>
            </w:r>
            <w:r>
              <w:rPr>
                <w:rFonts w:hint="eastAsia" w:ascii="宋体" w:hAnsi="宋体"/>
                <w:sz w:val="24"/>
              </w:rPr>
              <w:t>:</w:t>
            </w:r>
            <w:r>
              <w:rPr>
                <w:rFonts w:ascii="宋体" w:hAnsi="宋体"/>
                <w:sz w:val="24"/>
              </w:rPr>
              <w:t>0</w:t>
            </w:r>
            <w:r>
              <w:rPr>
                <w:rFonts w:hint="eastAsia" w:ascii="宋体" w:hAnsi="宋体"/>
                <w:sz w:val="24"/>
              </w:rPr>
              <w:t>0</w:t>
            </w:r>
          </w:p>
        </w:tc>
      </w:tr>
      <w:tr w14:paraId="7A94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0E08ED63">
            <w:pPr>
              <w:spacing w:line="360" w:lineRule="auto"/>
              <w:jc w:val="left"/>
              <w:rPr>
                <w:rFonts w:ascii="宋体" w:hAnsi="宋体" w:cs="Times New Roman"/>
                <w:b/>
                <w:bCs/>
                <w:iCs/>
                <w:sz w:val="24"/>
                <w:szCs w:val="24"/>
              </w:rPr>
            </w:pPr>
            <w:r>
              <w:rPr>
                <w:rFonts w:hint="eastAsia" w:ascii="宋体" w:hAnsi="宋体" w:cs="Times New Roman"/>
                <w:b/>
                <w:bCs/>
                <w:iCs/>
                <w:sz w:val="24"/>
                <w:szCs w:val="24"/>
              </w:rPr>
              <w:t>地点</w:t>
            </w:r>
          </w:p>
        </w:tc>
        <w:tc>
          <w:tcPr>
            <w:tcW w:w="7258" w:type="dxa"/>
          </w:tcPr>
          <w:p w14:paraId="0787AA16">
            <w:pPr>
              <w:spacing w:line="360" w:lineRule="auto"/>
              <w:rPr>
                <w:rFonts w:ascii="宋体" w:hAnsi="宋体"/>
                <w:sz w:val="24"/>
              </w:rPr>
            </w:pPr>
            <w:r>
              <w:rPr>
                <w:rFonts w:hint="eastAsia" w:ascii="宋体" w:hAnsi="宋体"/>
                <w:sz w:val="24"/>
              </w:rPr>
              <w:t>上海市东园路18号中国金融信息中心3楼上海厅</w:t>
            </w:r>
          </w:p>
        </w:tc>
      </w:tr>
      <w:tr w14:paraId="701D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5" w:type="dxa"/>
            <w:vAlign w:val="center"/>
          </w:tcPr>
          <w:p w14:paraId="399DB572">
            <w:pPr>
              <w:spacing w:line="360" w:lineRule="auto"/>
              <w:jc w:val="left"/>
              <w:rPr>
                <w:rFonts w:ascii="宋体" w:hAnsi="宋体" w:cs="Times New Roman"/>
                <w:b/>
                <w:bCs/>
                <w:iCs/>
                <w:sz w:val="24"/>
                <w:szCs w:val="24"/>
              </w:rPr>
            </w:pPr>
            <w:r>
              <w:rPr>
                <w:rFonts w:hint="eastAsia" w:ascii="宋体" w:hAnsi="宋体" w:cs="Times New Roman"/>
                <w:b/>
                <w:bCs/>
                <w:iCs/>
                <w:sz w:val="24"/>
                <w:szCs w:val="24"/>
              </w:rPr>
              <w:t>上市公司接待人员姓名</w:t>
            </w:r>
          </w:p>
        </w:tc>
        <w:tc>
          <w:tcPr>
            <w:tcW w:w="7258" w:type="dxa"/>
            <w:vAlign w:val="center"/>
          </w:tcPr>
          <w:p w14:paraId="7246A490">
            <w:pPr>
              <w:autoSpaceDE w:val="0"/>
              <w:autoSpaceDN w:val="0"/>
              <w:adjustRightInd w:val="0"/>
              <w:spacing w:line="360" w:lineRule="auto"/>
              <w:rPr>
                <w:rFonts w:ascii="Arial" w:hAnsi="Arial" w:cs="Arial"/>
                <w:sz w:val="24"/>
                <w:szCs w:val="24"/>
                <w:shd w:val="clear" w:color="auto" w:fill="FFFFFF"/>
              </w:rPr>
            </w:pPr>
            <w:r>
              <w:rPr>
                <w:rFonts w:ascii="Arial" w:hAnsi="Arial" w:cs="Arial"/>
                <w:sz w:val="24"/>
                <w:szCs w:val="24"/>
                <w:shd w:val="clear" w:color="auto" w:fill="FFFFFF"/>
              </w:rPr>
              <w:t>董事长：夏厚君先生</w:t>
            </w:r>
          </w:p>
          <w:p w14:paraId="1B241376">
            <w:pPr>
              <w:autoSpaceDE w:val="0"/>
              <w:autoSpaceDN w:val="0"/>
              <w:adjustRightInd w:val="0"/>
              <w:spacing w:line="360" w:lineRule="auto"/>
              <w:rPr>
                <w:rFonts w:ascii="Arial" w:hAnsi="Arial" w:cs="Arial"/>
                <w:sz w:val="24"/>
                <w:szCs w:val="24"/>
                <w:shd w:val="clear" w:color="auto" w:fill="FFFFFF"/>
              </w:rPr>
            </w:pPr>
            <w:r>
              <w:rPr>
                <w:rFonts w:ascii="Arial" w:hAnsi="Arial" w:cs="Arial"/>
                <w:sz w:val="24"/>
                <w:szCs w:val="24"/>
                <w:shd w:val="clear" w:color="auto" w:fill="FFFFFF"/>
              </w:rPr>
              <w:t>总经理：李耀邦先生</w:t>
            </w:r>
          </w:p>
          <w:p w14:paraId="520B661D">
            <w:pPr>
              <w:autoSpaceDE w:val="0"/>
              <w:autoSpaceDN w:val="0"/>
              <w:adjustRightInd w:val="0"/>
              <w:spacing w:line="360" w:lineRule="auto"/>
              <w:rPr>
                <w:rFonts w:ascii="Arial" w:hAnsi="Arial" w:cs="Arial"/>
                <w:sz w:val="24"/>
                <w:szCs w:val="24"/>
                <w:shd w:val="clear" w:color="auto" w:fill="FFFFFF"/>
              </w:rPr>
            </w:pPr>
            <w:r>
              <w:rPr>
                <w:rFonts w:hint="eastAsia" w:ascii="Arial" w:hAnsi="Arial" w:cs="Arial"/>
                <w:sz w:val="24"/>
                <w:szCs w:val="24"/>
                <w:shd w:val="clear" w:color="auto" w:fill="FFFFFF"/>
              </w:rPr>
              <w:t>副总经理、</w:t>
            </w:r>
            <w:r>
              <w:rPr>
                <w:rFonts w:ascii="Arial" w:hAnsi="Arial" w:cs="Arial"/>
                <w:sz w:val="24"/>
                <w:szCs w:val="24"/>
                <w:shd w:val="clear" w:color="auto" w:fill="FFFFFF"/>
              </w:rPr>
              <w:t>董事会秘书：</w:t>
            </w:r>
            <w:r>
              <w:rPr>
                <w:rFonts w:hint="eastAsia" w:ascii="Arial" w:hAnsi="Arial" w:cs="Arial"/>
                <w:sz w:val="24"/>
                <w:szCs w:val="24"/>
                <w:shd w:val="clear" w:color="auto" w:fill="FFFFFF"/>
              </w:rPr>
              <w:t>聂胜</w:t>
            </w:r>
            <w:r>
              <w:rPr>
                <w:rFonts w:ascii="Arial" w:hAnsi="Arial" w:cs="Arial"/>
                <w:sz w:val="24"/>
                <w:szCs w:val="24"/>
                <w:shd w:val="clear" w:color="auto" w:fill="FFFFFF"/>
              </w:rPr>
              <w:t>先生</w:t>
            </w:r>
          </w:p>
          <w:p w14:paraId="77C22B3B">
            <w:pPr>
              <w:autoSpaceDE w:val="0"/>
              <w:autoSpaceDN w:val="0"/>
              <w:adjustRightInd w:val="0"/>
              <w:spacing w:line="360" w:lineRule="auto"/>
              <w:rPr>
                <w:rFonts w:ascii="Arial" w:hAnsi="Arial" w:cs="Arial"/>
                <w:sz w:val="24"/>
                <w:szCs w:val="24"/>
                <w:shd w:val="clear" w:color="auto" w:fill="FFFFFF"/>
              </w:rPr>
            </w:pPr>
            <w:r>
              <w:rPr>
                <w:rFonts w:hint="eastAsia" w:ascii="Arial" w:hAnsi="Arial" w:cs="Arial"/>
                <w:sz w:val="24"/>
                <w:szCs w:val="24"/>
                <w:shd w:val="clear" w:color="auto" w:fill="FFFFFF"/>
              </w:rPr>
              <w:t>首席科学家</w:t>
            </w:r>
            <w:r>
              <w:rPr>
                <w:rFonts w:ascii="Arial" w:hAnsi="Arial" w:cs="Arial"/>
                <w:sz w:val="24"/>
                <w:szCs w:val="24"/>
                <w:shd w:val="clear" w:color="auto" w:fill="FFFFFF"/>
              </w:rPr>
              <w:t>：</w:t>
            </w:r>
            <w:r>
              <w:rPr>
                <w:rFonts w:hint="eastAsia" w:ascii="Arial" w:hAnsi="Arial" w:cs="Arial"/>
                <w:sz w:val="24"/>
                <w:szCs w:val="24"/>
                <w:shd w:val="clear" w:color="auto" w:fill="FFFFFF"/>
              </w:rPr>
              <w:t>陈书厅</w:t>
            </w:r>
            <w:r>
              <w:rPr>
                <w:rFonts w:ascii="Arial" w:hAnsi="Arial" w:cs="Arial"/>
                <w:sz w:val="24"/>
                <w:szCs w:val="24"/>
                <w:shd w:val="clear" w:color="auto" w:fill="FFFFFF"/>
              </w:rPr>
              <w:t>先生</w:t>
            </w:r>
          </w:p>
        </w:tc>
      </w:tr>
      <w:tr w14:paraId="1C7B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55" w:type="dxa"/>
            <w:vAlign w:val="center"/>
          </w:tcPr>
          <w:p w14:paraId="47B2B82E">
            <w:pPr>
              <w:spacing w:line="360" w:lineRule="auto"/>
              <w:jc w:val="left"/>
              <w:rPr>
                <w:rFonts w:ascii="宋体" w:hAnsi="宋体" w:cs="Times New Roman"/>
                <w:b/>
                <w:bCs/>
                <w:iCs/>
                <w:sz w:val="24"/>
                <w:szCs w:val="24"/>
              </w:rPr>
            </w:pPr>
            <w:r>
              <w:rPr>
                <w:rFonts w:hint="eastAsia" w:ascii="宋体" w:hAnsi="宋体" w:cs="Times New Roman"/>
                <w:b/>
                <w:bCs/>
                <w:iCs/>
                <w:sz w:val="24"/>
                <w:szCs w:val="24"/>
              </w:rPr>
              <w:t>投资者关系活动主要内容介绍</w:t>
            </w:r>
          </w:p>
        </w:tc>
        <w:tc>
          <w:tcPr>
            <w:tcW w:w="7258" w:type="dxa"/>
          </w:tcPr>
          <w:p w14:paraId="6610C4C9">
            <w:pPr>
              <w:spacing w:line="360" w:lineRule="auto"/>
              <w:ind w:firstLine="480" w:firstLineChars="200"/>
              <w:rPr>
                <w:rFonts w:ascii="宋体"/>
                <w:sz w:val="24"/>
                <w:szCs w:val="24"/>
              </w:rPr>
            </w:pPr>
            <w:r>
              <w:rPr>
                <w:rFonts w:hint="eastAsia" w:ascii="宋体"/>
                <w:sz w:val="24"/>
                <w:szCs w:val="24"/>
              </w:rPr>
              <w:t>浙江福莱新材料股份有限公司深耕新材料领域二十余载，以功能性涂布复合材料为原点，正在向具备感知能力的柔性传感系统延伸。</w:t>
            </w:r>
          </w:p>
          <w:p w14:paraId="3B6B5B8D">
            <w:pPr>
              <w:spacing w:line="360" w:lineRule="auto"/>
              <w:ind w:firstLine="480" w:firstLineChars="200"/>
              <w:rPr>
                <w:rFonts w:ascii="宋体"/>
                <w:sz w:val="24"/>
                <w:szCs w:val="24"/>
              </w:rPr>
            </w:pPr>
            <w:r>
              <w:rPr>
                <w:rFonts w:hint="eastAsia" w:ascii="宋体"/>
                <w:sz w:val="24"/>
                <w:szCs w:val="24"/>
              </w:rPr>
              <w:t>公司自主研发的“电子皮肤”产品已完成多次迭代并实现批量供货，顺利完成从材料供应商向智能传感解决方案提供商的转型，在智能感知与智能制造新赛道中开辟出第二增长曲线，持续释放产业价值与资本价值。</w:t>
            </w:r>
          </w:p>
          <w:p w14:paraId="4B33FF98">
            <w:pPr>
              <w:spacing w:line="360" w:lineRule="auto"/>
              <w:ind w:firstLine="482" w:firstLineChars="200"/>
              <w:rPr>
                <w:rFonts w:ascii="宋体"/>
                <w:b/>
                <w:bCs/>
                <w:sz w:val="24"/>
                <w:szCs w:val="24"/>
              </w:rPr>
            </w:pPr>
            <w:r>
              <w:rPr>
                <w:rFonts w:hint="eastAsia" w:ascii="宋体"/>
                <w:b/>
                <w:bCs/>
                <w:sz w:val="24"/>
                <w:szCs w:val="24"/>
              </w:rPr>
              <w:t>主要交流问题：</w:t>
            </w:r>
          </w:p>
          <w:p w14:paraId="2E50A53D">
            <w:pPr>
              <w:spacing w:line="360" w:lineRule="auto"/>
              <w:ind w:firstLine="482" w:firstLineChars="200"/>
              <w:rPr>
                <w:b/>
                <w:bCs/>
                <w:sz w:val="24"/>
                <w:szCs w:val="24"/>
              </w:rPr>
            </w:pPr>
            <w:r>
              <w:rPr>
                <w:rFonts w:hint="eastAsia" w:ascii="宋体" w:hAnsi="宋体"/>
                <w:b/>
                <w:bCs/>
                <w:sz w:val="24"/>
                <w:szCs w:val="24"/>
              </w:rPr>
              <w:t>问题1：请问公司领导:第三代电子皮肤的算法和模型取得突破性进展，相对前代产品最大的提升点在哪里？目标应用在哪些领域？</w:t>
            </w:r>
          </w:p>
          <w:p w14:paraId="416C7B7B">
            <w:pPr>
              <w:spacing w:line="360" w:lineRule="auto"/>
              <w:ind w:firstLine="480" w:firstLineChars="200"/>
              <w:rPr>
                <w:rFonts w:ascii="宋体" w:hAnsi="宋体"/>
                <w:sz w:val="24"/>
                <w:szCs w:val="24"/>
              </w:rPr>
            </w:pPr>
            <w:r>
              <w:rPr>
                <w:rFonts w:hint="eastAsia" w:ascii="宋体" w:hAnsi="宋体"/>
                <w:sz w:val="24"/>
                <w:szCs w:val="24"/>
              </w:rPr>
              <w:t>答：公司的第三代触觉传感系统实现了从“原始数据”到“智能知觉”的飞跃，触觉传感器不再仅仅是“数据搬运工”，而是成为“触觉智能核心”。</w:t>
            </w:r>
          </w:p>
          <w:p w14:paraId="0D392FA8">
            <w:pPr>
              <w:spacing w:line="360" w:lineRule="auto"/>
              <w:ind w:firstLine="480" w:firstLineChars="200"/>
              <w:rPr>
                <w:rFonts w:ascii="宋体" w:hAnsi="宋体"/>
                <w:sz w:val="24"/>
                <w:szCs w:val="24"/>
              </w:rPr>
            </w:pPr>
            <w:r>
              <w:rPr>
                <w:rFonts w:hint="eastAsia" w:ascii="宋体" w:hAnsi="宋体"/>
                <w:sz w:val="24"/>
                <w:szCs w:val="24"/>
              </w:rPr>
              <w:t>通过算法和模型的升级，实现的突破如下：</w:t>
            </w:r>
          </w:p>
          <w:p w14:paraId="28275057">
            <w:pPr>
              <w:spacing w:line="360" w:lineRule="auto"/>
              <w:ind w:firstLine="480" w:firstLineChars="200"/>
              <w:rPr>
                <w:rFonts w:ascii="宋体" w:hAnsi="宋体"/>
                <w:sz w:val="24"/>
                <w:szCs w:val="24"/>
              </w:rPr>
            </w:pPr>
            <w:r>
              <w:rPr>
                <w:rFonts w:hint="eastAsia" w:ascii="宋体" w:hAnsi="宋体"/>
                <w:sz w:val="24"/>
                <w:szCs w:val="24"/>
              </w:rPr>
              <w:t>1、“头发丝级”超高分辨率。公司通过压阻式方案，触觉传感的空间分辨率已达&lt;100微米，相当于一根头发丝的直径。公司采用的压阻方案在量产规模、经济性上具有突出优势，并用算法在指尖“雕刻”出了一个微观世界。</w:t>
            </w:r>
          </w:p>
          <w:p w14:paraId="17E3B0E1">
            <w:pPr>
              <w:spacing w:line="360" w:lineRule="auto"/>
              <w:ind w:firstLine="480" w:firstLineChars="200"/>
              <w:rPr>
                <w:rFonts w:ascii="宋体" w:hAnsi="宋体"/>
                <w:sz w:val="24"/>
                <w:szCs w:val="24"/>
              </w:rPr>
            </w:pPr>
            <w:r>
              <w:rPr>
                <w:rFonts w:hint="eastAsia" w:ascii="宋体" w:hAnsi="宋体"/>
                <w:sz w:val="24"/>
                <w:szCs w:val="24"/>
              </w:rPr>
              <w:t>2、从“摸到”到“摸懂”。公司的触觉智能TPU</w:t>
            </w:r>
            <w:r>
              <w:rPr>
                <w:rFonts w:hint="eastAsia" w:ascii="宋体" w:hAnsi="宋体"/>
                <w:sz w:val="24"/>
                <w:szCs w:val="24"/>
                <w:lang w:eastAsia="zh-CN"/>
              </w:rPr>
              <w:t>（Tactile Processing Uinit）</w:t>
            </w:r>
            <w:r>
              <w:rPr>
                <w:rFonts w:hint="eastAsia" w:ascii="宋体" w:hAnsi="宋体"/>
                <w:sz w:val="24"/>
                <w:szCs w:val="24"/>
              </w:rPr>
              <w:t>在指尖完成了边缘计算，它不再输出“我碰到了”，而是直接告诉大脑：“我摸到的是什么？”</w:t>
            </w:r>
            <w:bookmarkStart w:id="0" w:name="_GoBack"/>
            <w:bookmarkEnd w:id="0"/>
          </w:p>
          <w:p w14:paraId="6767D442">
            <w:pPr>
              <w:spacing w:line="360" w:lineRule="auto"/>
              <w:ind w:firstLine="480" w:firstLineChars="200"/>
              <w:rPr>
                <w:rFonts w:ascii="宋体" w:hAnsi="宋体"/>
                <w:sz w:val="24"/>
                <w:szCs w:val="24"/>
              </w:rPr>
            </w:pPr>
            <w:r>
              <w:rPr>
                <w:rFonts w:hint="eastAsia" w:ascii="宋体" w:hAnsi="宋体"/>
                <w:sz w:val="24"/>
                <w:szCs w:val="24"/>
              </w:rPr>
              <w:t>公司的高性能触觉传感在目标应用领域上，主要面向：</w:t>
            </w:r>
          </w:p>
          <w:p w14:paraId="105C9687">
            <w:pPr>
              <w:spacing w:line="360" w:lineRule="auto"/>
              <w:ind w:firstLine="480" w:firstLineChars="200"/>
              <w:rPr>
                <w:rFonts w:ascii="宋体" w:hAnsi="宋体"/>
                <w:sz w:val="24"/>
                <w:szCs w:val="24"/>
              </w:rPr>
            </w:pPr>
            <w:r>
              <w:rPr>
                <w:rFonts w:hint="eastAsia" w:ascii="宋体" w:hAnsi="宋体"/>
                <w:sz w:val="24"/>
                <w:szCs w:val="24"/>
              </w:rPr>
              <w:t>1、高端智造：实现人形机器人、灵巧手完成过去只有人手才能做的精密装配；2、智能伴侣：从指尖到全身的触觉覆盖。这让机器人能安全地与人互动，做到“感同身受”。</w:t>
            </w:r>
          </w:p>
          <w:p w14:paraId="280CA3B1">
            <w:pPr>
              <w:spacing w:line="360" w:lineRule="auto"/>
              <w:ind w:firstLine="480" w:firstLineChars="200"/>
              <w:rPr>
                <w:rFonts w:ascii="宋体" w:hAnsi="宋体"/>
                <w:sz w:val="24"/>
                <w:szCs w:val="24"/>
              </w:rPr>
            </w:pPr>
            <w:r>
              <w:rPr>
                <w:rFonts w:hint="eastAsia" w:ascii="宋体" w:hAnsi="宋体"/>
                <w:sz w:val="24"/>
                <w:szCs w:val="24"/>
              </w:rPr>
              <w:t>福莱新材的第三代柔性传感触觉产品，不仅仅是一个“传感器”，而是提供一个“有知觉、会思考”的触觉智能TPU。</w:t>
            </w:r>
          </w:p>
          <w:p w14:paraId="345CED27">
            <w:pPr>
              <w:spacing w:line="360" w:lineRule="auto"/>
              <w:rPr>
                <w:rFonts w:ascii="宋体"/>
                <w:sz w:val="24"/>
                <w:szCs w:val="24"/>
              </w:rPr>
            </w:pPr>
          </w:p>
          <w:p w14:paraId="6C02BC18">
            <w:pPr>
              <w:spacing w:line="360" w:lineRule="auto"/>
              <w:ind w:firstLine="482" w:firstLineChars="200"/>
              <w:rPr>
                <w:rFonts w:ascii="宋体" w:hAnsi="宋体"/>
                <w:b/>
                <w:bCs/>
                <w:sz w:val="24"/>
                <w:szCs w:val="24"/>
              </w:rPr>
            </w:pPr>
            <w:r>
              <w:rPr>
                <w:rFonts w:hint="eastAsia" w:ascii="宋体" w:hAnsi="宋体"/>
                <w:b/>
                <w:bCs/>
                <w:sz w:val="24"/>
                <w:szCs w:val="24"/>
              </w:rPr>
              <w:t>问题2：请问公司领导:电子皮肤可以解决哪些行业痛点？目前有哪些客户表达了对三代产品的意向？国内外客户合计有多少了？</w:t>
            </w:r>
          </w:p>
          <w:p w14:paraId="738FC574">
            <w:pPr>
              <w:spacing w:line="360" w:lineRule="auto"/>
              <w:ind w:firstLine="480" w:firstLineChars="200"/>
              <w:rPr>
                <w:rFonts w:ascii="宋体"/>
                <w:sz w:val="24"/>
                <w:szCs w:val="24"/>
              </w:rPr>
            </w:pPr>
            <w:r>
              <w:rPr>
                <w:rFonts w:hint="eastAsia" w:ascii="宋体"/>
                <w:sz w:val="24"/>
                <w:szCs w:val="24"/>
              </w:rPr>
              <w:t>答：从具身智能的发展来看，“手”不灵活是目前机器人行业的较大的痛点，特别是在操控工具方面。机器人有智商、有视力，但“触感”不够发达，而研发触觉智能TPU，就是来解决这个的痛点的。</w:t>
            </w:r>
          </w:p>
          <w:p w14:paraId="1E241F8A">
            <w:pPr>
              <w:spacing w:line="360" w:lineRule="auto"/>
              <w:ind w:firstLine="480" w:firstLineChars="200"/>
              <w:rPr>
                <w:rFonts w:ascii="宋体"/>
                <w:sz w:val="24"/>
                <w:szCs w:val="24"/>
              </w:rPr>
            </w:pPr>
            <w:r>
              <w:rPr>
                <w:rFonts w:hint="eastAsia" w:ascii="宋体"/>
                <w:sz w:val="24"/>
                <w:szCs w:val="24"/>
              </w:rPr>
              <w:t>目前国内外合作的客户已有几十家，并且部分是有明确提出批量订单的需求。公司的产品有“芯感一体”和“算法赋能”，是实现灵巧手的灵巧操作和安全交互的重要支持。</w:t>
            </w:r>
          </w:p>
          <w:p w14:paraId="7BA81B46">
            <w:pPr>
              <w:spacing w:line="360" w:lineRule="auto"/>
              <w:rPr>
                <w:rFonts w:ascii="宋体"/>
                <w:sz w:val="24"/>
                <w:szCs w:val="24"/>
              </w:rPr>
            </w:pPr>
          </w:p>
          <w:p w14:paraId="665E3B40">
            <w:pPr>
              <w:spacing w:line="360" w:lineRule="auto"/>
              <w:ind w:firstLine="482" w:firstLineChars="200"/>
              <w:rPr>
                <w:rFonts w:ascii="宋体" w:hAnsi="宋体"/>
                <w:b/>
                <w:bCs/>
                <w:sz w:val="24"/>
                <w:szCs w:val="24"/>
              </w:rPr>
            </w:pPr>
            <w:r>
              <w:rPr>
                <w:rFonts w:hint="eastAsia" w:ascii="宋体" w:hAnsi="宋体"/>
                <w:b/>
                <w:bCs/>
                <w:sz w:val="24"/>
                <w:szCs w:val="24"/>
              </w:rPr>
              <w:t>问题3：请问公司领导:在北美市场进展如何，北美客户关注的指标是什么？相较特斯拉供应商interlink，我们有哪些竞争优势？为了做进北美市场，我们做了哪些努力？</w:t>
            </w:r>
          </w:p>
          <w:p w14:paraId="1F773213">
            <w:pPr>
              <w:spacing w:line="360" w:lineRule="auto"/>
              <w:ind w:firstLine="480" w:firstLineChars="200"/>
              <w:rPr>
                <w:rFonts w:ascii="宋体"/>
                <w:sz w:val="24"/>
                <w:szCs w:val="24"/>
              </w:rPr>
            </w:pPr>
            <w:r>
              <w:rPr>
                <w:rFonts w:hint="eastAsia" w:ascii="宋体"/>
                <w:sz w:val="24"/>
                <w:szCs w:val="24"/>
              </w:rPr>
              <w:t>答：北美市场的客户在全球通用人工智能AGI大脑方面的研究比较深入，更关注产品的一致性、可靠性、寿命、信号漂移，要为机器人大脑提供最可靠的数据。</w:t>
            </w:r>
          </w:p>
          <w:p w14:paraId="6EF63D75">
            <w:pPr>
              <w:spacing w:line="360" w:lineRule="auto"/>
              <w:ind w:firstLine="480" w:firstLineChars="200"/>
              <w:rPr>
                <w:rFonts w:ascii="宋体"/>
                <w:sz w:val="24"/>
                <w:szCs w:val="24"/>
              </w:rPr>
            </w:pPr>
            <w:r>
              <w:rPr>
                <w:rFonts w:hint="eastAsia" w:ascii="宋体"/>
                <w:sz w:val="24"/>
                <w:szCs w:val="24"/>
              </w:rPr>
              <w:t>公司的竞争优势体现在：1、智能化：公司的触觉传感产品交付的是触觉智能TPU，而不仅是传感器的电阻信号；2、产品形态：第3代产品是“芯感一体”，电路高度小型化、数字化，与灵巧手更匹配；3、效率速度：拥有高效的团队和国内完善的供应链，具有快速迭代、更新的能力。</w:t>
            </w:r>
          </w:p>
          <w:p w14:paraId="46C8D8F1">
            <w:pPr>
              <w:spacing w:line="360" w:lineRule="auto"/>
              <w:ind w:firstLine="480" w:firstLineChars="200"/>
              <w:rPr>
                <w:rFonts w:ascii="宋体"/>
                <w:sz w:val="24"/>
                <w:szCs w:val="24"/>
              </w:rPr>
            </w:pPr>
            <w:r>
              <w:rPr>
                <w:rFonts w:hint="eastAsia" w:ascii="宋体"/>
                <w:sz w:val="24"/>
                <w:szCs w:val="24"/>
              </w:rPr>
              <w:t>今年9月，公司在美国加州设立了全资子公司 Apex Sensing LLC，在当地成立了商务和技术团队，已在北美市场实现小批量订单进展。</w:t>
            </w:r>
          </w:p>
          <w:p w14:paraId="22376B7F">
            <w:pPr>
              <w:spacing w:line="360" w:lineRule="auto"/>
              <w:rPr>
                <w:rFonts w:ascii="宋体"/>
                <w:sz w:val="24"/>
                <w:szCs w:val="24"/>
              </w:rPr>
            </w:pPr>
          </w:p>
          <w:p w14:paraId="4323A7BA">
            <w:pPr>
              <w:spacing w:line="360" w:lineRule="auto"/>
              <w:ind w:firstLine="482" w:firstLineChars="200"/>
              <w:rPr>
                <w:rFonts w:ascii="宋体" w:hAnsi="宋体"/>
                <w:b/>
                <w:bCs/>
                <w:sz w:val="24"/>
                <w:szCs w:val="24"/>
              </w:rPr>
            </w:pPr>
            <w:r>
              <w:rPr>
                <w:rFonts w:hint="eastAsia" w:ascii="宋体" w:hAnsi="宋体"/>
                <w:b/>
                <w:bCs/>
                <w:sz w:val="24"/>
                <w:szCs w:val="24"/>
              </w:rPr>
              <w:t>问题4：请问公司领导，公司的定增事项进展到哪一步了？此次定增后对公司的业务提升有哪些具体帮助？</w:t>
            </w:r>
          </w:p>
          <w:p w14:paraId="3EB19DBF">
            <w:pPr>
              <w:spacing w:line="360" w:lineRule="auto"/>
              <w:ind w:firstLine="480" w:firstLineChars="200"/>
              <w:rPr>
                <w:rFonts w:ascii="宋体"/>
                <w:sz w:val="24"/>
                <w:szCs w:val="24"/>
              </w:rPr>
            </w:pPr>
            <w:r>
              <w:rPr>
                <w:rFonts w:hint="eastAsia" w:ascii="宋体"/>
                <w:sz w:val="24"/>
                <w:szCs w:val="24"/>
              </w:rPr>
              <w:t>答：今天借此机会跟大家汇报下定增的进展情况，目前公司再融资项目申请已收到交易所问询，并已经提交问询函的回复材料，后续有相关进展我们会严格按照监管要求及时履行信息披露义务。</w:t>
            </w:r>
          </w:p>
          <w:p w14:paraId="49E65413">
            <w:pPr>
              <w:spacing w:line="360" w:lineRule="auto"/>
              <w:ind w:firstLine="480" w:firstLineChars="200"/>
              <w:rPr>
                <w:rFonts w:ascii="宋体"/>
                <w:sz w:val="24"/>
                <w:szCs w:val="24"/>
              </w:rPr>
            </w:pPr>
            <w:r>
              <w:rPr>
                <w:rFonts w:hint="eastAsia" w:ascii="宋体"/>
                <w:sz w:val="24"/>
                <w:szCs w:val="24"/>
              </w:rPr>
              <w:t>本次定增募投项目的建设内容是标签标识印刷材料和电子级功能材料的扩产升级、研发中心升级项目以及补充流动资金，募集总额是7.07亿元。从建设内容可以看出，本次募投项目均围绕公司主营业务展开，作为国内喷墨打印复合材料行业首家实现基膜、胶水、涂布一体化的企业，依托“产业一体化、应用多元化”战略，持续强化产业链协同与多元化应用能力，构筑差异化竞争优势。同时通过研发中心升级项目强化公司核心研发能力，为主业发展提供持续创新动力，推动产品技术升级。在公司经营规模不断扩大的过程中对资金需求日益增加，本次定增将为公司后续发展提供有力保障，提升公司市场竞争力，巩固行业地位和提升盈利能力。</w:t>
            </w:r>
          </w:p>
          <w:p w14:paraId="333C7A45">
            <w:pPr>
              <w:spacing w:line="360" w:lineRule="auto"/>
              <w:rPr>
                <w:rFonts w:ascii="宋体"/>
                <w:sz w:val="24"/>
                <w:szCs w:val="24"/>
              </w:rPr>
            </w:pPr>
          </w:p>
          <w:p w14:paraId="21781CCC">
            <w:pPr>
              <w:spacing w:line="360" w:lineRule="auto"/>
              <w:ind w:firstLine="482" w:firstLineChars="200"/>
              <w:rPr>
                <w:rFonts w:ascii="宋体" w:hAnsi="宋体"/>
                <w:b/>
                <w:bCs/>
                <w:sz w:val="24"/>
                <w:szCs w:val="24"/>
              </w:rPr>
            </w:pPr>
            <w:r>
              <w:rPr>
                <w:rFonts w:hint="eastAsia" w:ascii="宋体" w:hAnsi="宋体"/>
                <w:b/>
                <w:bCs/>
                <w:sz w:val="24"/>
                <w:szCs w:val="24"/>
              </w:rPr>
              <w:t>问题5：请问公司高管，公司目前在和“浙江清华柔性电子技术研究院”与“通智人工智能科技（北京）有限公司”两家权威机构合作，为什么要选择他们两家？具体的合作模式是什么样的？有哪些科研成果已经在开始合作了吗？</w:t>
            </w:r>
          </w:p>
          <w:p w14:paraId="37AAE126">
            <w:pPr>
              <w:spacing w:line="360" w:lineRule="auto"/>
              <w:ind w:firstLine="480" w:firstLineChars="200"/>
              <w:rPr>
                <w:rFonts w:ascii="宋体" w:hAnsi="宋体"/>
                <w:sz w:val="24"/>
                <w:szCs w:val="24"/>
              </w:rPr>
            </w:pPr>
            <w:r>
              <w:rPr>
                <w:rFonts w:hint="eastAsia" w:ascii="宋体" w:hAnsi="宋体"/>
                <w:sz w:val="24"/>
                <w:szCs w:val="24"/>
              </w:rPr>
              <w:t>答：福莱新材与两家权威机构合作，是持续推动柔性传感器技术与人工智能产业深度融合的重要举措。通过强强联合，多方共同致力于加速柔性传感技术与AI算法在终端应用中的集成创新，共同构建具有影响力的产业生态链，为具身智能产业发展注入新动能。</w:t>
            </w:r>
          </w:p>
          <w:p w14:paraId="25ADED73">
            <w:pPr>
              <w:spacing w:line="360" w:lineRule="auto"/>
              <w:ind w:firstLine="480" w:firstLineChars="200"/>
              <w:rPr>
                <w:rFonts w:ascii="宋体" w:hAnsi="宋体"/>
                <w:sz w:val="24"/>
                <w:szCs w:val="24"/>
              </w:rPr>
            </w:pPr>
            <w:r>
              <w:rPr>
                <w:rFonts w:hint="eastAsia" w:ascii="宋体" w:hAnsi="宋体"/>
                <w:sz w:val="24"/>
                <w:szCs w:val="24"/>
              </w:rPr>
              <w:t>浙江清华柔性电子技术研究院是柔性传感方面的研究机构，把芯片做成柔性，更好地实现极致的“芯感一体”。公司与清华柔电院牵手成立智能感知联合实验室，共同攻坚硬件。通智人工智能科技在人工智能算法方面的技术，能够更好地实现触觉智能TPU，与通智科技达成战略合作，深度融合算法大模型。</w:t>
            </w:r>
          </w:p>
          <w:p w14:paraId="0313379F">
            <w:pPr>
              <w:spacing w:line="360" w:lineRule="auto"/>
              <w:ind w:firstLine="480" w:firstLineChars="200"/>
              <w:rPr>
                <w:rFonts w:ascii="宋体" w:hAnsi="宋体"/>
                <w:sz w:val="24"/>
                <w:szCs w:val="24"/>
              </w:rPr>
            </w:pPr>
          </w:p>
          <w:p w14:paraId="49622B26">
            <w:pPr>
              <w:spacing w:line="360" w:lineRule="auto"/>
              <w:ind w:firstLine="482" w:firstLineChars="200"/>
              <w:rPr>
                <w:rFonts w:ascii="宋体" w:hAnsi="宋体"/>
                <w:b/>
                <w:bCs/>
                <w:sz w:val="24"/>
                <w:szCs w:val="24"/>
              </w:rPr>
            </w:pPr>
            <w:r>
              <w:rPr>
                <w:rFonts w:hint="eastAsia" w:ascii="宋体" w:hAnsi="宋体"/>
                <w:b/>
                <w:bCs/>
                <w:sz w:val="24"/>
                <w:szCs w:val="24"/>
              </w:rPr>
              <w:t>问题6：公司领导，我注意到前三季度，公司研发费用投入同比增长了较多，请问公司在柔性传感器研发上的投入情况，并请详细介绍一下目前的研发团队。</w:t>
            </w:r>
          </w:p>
          <w:p w14:paraId="4473D8D1">
            <w:pPr>
              <w:spacing w:line="360" w:lineRule="auto"/>
              <w:ind w:firstLine="480" w:firstLineChars="200"/>
              <w:rPr>
                <w:rFonts w:ascii="宋体" w:hAnsi="宋体"/>
                <w:sz w:val="24"/>
                <w:szCs w:val="24"/>
              </w:rPr>
            </w:pPr>
            <w:r>
              <w:rPr>
                <w:rFonts w:hint="eastAsia" w:ascii="宋体" w:hAnsi="宋体"/>
                <w:sz w:val="24"/>
                <w:szCs w:val="24"/>
              </w:rPr>
              <w:t>答：公司高度重视科研创新，坚持创新驱动发展。柔性传感器作为公司战略核心方向，研发投入强度持续提升。前三季度研发费用同比增长显著，重点投向机器人触觉、工业检测用的传感系统、消费电子等领域，确保技术护城河持续深化。</w:t>
            </w:r>
          </w:p>
          <w:p w14:paraId="38A6179C">
            <w:pPr>
              <w:spacing w:line="360" w:lineRule="auto"/>
              <w:ind w:firstLine="480" w:firstLineChars="200"/>
              <w:rPr>
                <w:rFonts w:ascii="宋体" w:hAnsi="宋体"/>
                <w:sz w:val="24"/>
                <w:szCs w:val="24"/>
              </w:rPr>
            </w:pPr>
            <w:r>
              <w:rPr>
                <w:rFonts w:hint="eastAsia" w:ascii="宋体" w:hAnsi="宋体"/>
                <w:sz w:val="24"/>
                <w:szCs w:val="24"/>
              </w:rPr>
              <w:t>公司柔性传感器研发团队也在迅速的扩大，人员规模实现翻番，汇聚了传感器领域专家陈书厅、AI算法大模型专家廖永兴等一批核心骨干，团队成员在各自领域均具有深厚的技术积累与丰富的实践经验，攻克多项传感器领域的技术难关，为柔性传感器技术的持续创新和产业化落地提供了强有力的人才支撑。</w:t>
            </w:r>
          </w:p>
          <w:p w14:paraId="49432118">
            <w:pPr>
              <w:spacing w:line="360" w:lineRule="auto"/>
              <w:ind w:firstLine="482" w:firstLineChars="200"/>
              <w:rPr>
                <w:rFonts w:ascii="宋体" w:hAnsi="宋体"/>
                <w:b/>
                <w:bCs/>
                <w:sz w:val="24"/>
                <w:szCs w:val="24"/>
              </w:rPr>
            </w:pPr>
            <w:r>
              <w:rPr>
                <w:rFonts w:hint="eastAsia" w:ascii="宋体" w:hAnsi="宋体"/>
                <w:b/>
                <w:bCs/>
                <w:sz w:val="24"/>
                <w:szCs w:val="24"/>
              </w:rPr>
              <w:t>问题</w:t>
            </w:r>
            <w:r>
              <w:rPr>
                <w:rFonts w:hint="default" w:ascii="宋体" w:hAnsi="宋体"/>
                <w:b/>
                <w:bCs/>
                <w:sz w:val="24"/>
                <w:szCs w:val="24"/>
                <w:lang w:val="en-US"/>
              </w:rPr>
              <w:t>7</w:t>
            </w:r>
            <w:r>
              <w:rPr>
                <w:rFonts w:hint="eastAsia" w:ascii="宋体" w:hAnsi="宋体"/>
                <w:b/>
                <w:bCs/>
                <w:sz w:val="24"/>
                <w:szCs w:val="24"/>
              </w:rPr>
              <w:t>：公司传统业务总体来说比较稳健，也请公司介绍下，其中有没有什么亮点可以分享的？</w:t>
            </w:r>
          </w:p>
          <w:p w14:paraId="66E7F612">
            <w:pPr>
              <w:spacing w:line="360" w:lineRule="auto"/>
              <w:ind w:firstLine="480" w:firstLineChars="200"/>
              <w:rPr>
                <w:rFonts w:ascii="宋体" w:hAnsi="宋体"/>
                <w:sz w:val="24"/>
                <w:szCs w:val="24"/>
              </w:rPr>
            </w:pPr>
            <w:r>
              <w:rPr>
                <w:rFonts w:hint="eastAsia" w:ascii="宋体" w:hAnsi="宋体"/>
                <w:sz w:val="24"/>
                <w:szCs w:val="24"/>
              </w:rPr>
              <w:t>答：公司传统业务板块整体发展稳健，依托在涂布技术领域的持续深耕，目前已形成“传统业务稳健增长、新兴业务快速突破”的发展格局。标签标识印刷材料通过优化产品结构、积极开拓海外市场，进一步巩固并扩大了市场份额，为公司业绩带来显著提升。</w:t>
            </w:r>
            <w:r>
              <w:rPr>
                <w:rFonts w:hint="eastAsia" w:ascii="宋体"/>
                <w:sz w:val="24"/>
                <w:szCs w:val="24"/>
              </w:rPr>
              <w:t>家居事业部是后房地产时代的一个机会，近年来得到快速发展，成为公司新的业绩增长点。电子级功能材料从传统胶带、离型膜逐步向光学保护膜等高附加值领域转型升级，目前正在开发OLED支撑膜、缓冲泡棉胶等显示面板材料，并已成功实现UV减粘胶的量产，展现出强劲的发展潜力。</w:t>
            </w:r>
          </w:p>
          <w:p w14:paraId="5D3BD492">
            <w:pPr>
              <w:spacing w:line="360" w:lineRule="auto"/>
              <w:ind w:firstLine="480" w:firstLineChars="200"/>
              <w:rPr>
                <w:rFonts w:ascii="宋体" w:hAnsi="宋体"/>
                <w:sz w:val="24"/>
                <w:szCs w:val="24"/>
              </w:rPr>
            </w:pPr>
            <w:r>
              <w:rPr>
                <w:rFonts w:hint="eastAsia" w:ascii="宋体" w:hAnsi="宋体"/>
                <w:sz w:val="24"/>
                <w:szCs w:val="24"/>
              </w:rPr>
              <w:t>总体来看，公司传统业务基本盘稳固，在技术创新与产品研发的共同驱动下，将持续为公司贡献稳健的业绩支撑。</w:t>
            </w:r>
          </w:p>
          <w:p w14:paraId="59BE775B">
            <w:pPr>
              <w:spacing w:line="360" w:lineRule="auto"/>
              <w:ind w:firstLine="480" w:firstLineChars="200"/>
              <w:rPr>
                <w:rFonts w:ascii="宋体" w:hAnsi="宋体"/>
                <w:sz w:val="24"/>
                <w:szCs w:val="24"/>
              </w:rPr>
            </w:pPr>
          </w:p>
          <w:p w14:paraId="1A7E85BF">
            <w:pPr>
              <w:spacing w:line="360" w:lineRule="auto"/>
              <w:ind w:firstLine="482" w:firstLineChars="200"/>
              <w:rPr>
                <w:rFonts w:ascii="宋体"/>
                <w:b/>
                <w:bCs/>
                <w:sz w:val="24"/>
                <w:szCs w:val="24"/>
              </w:rPr>
            </w:pPr>
            <w:r>
              <w:rPr>
                <w:rFonts w:hint="eastAsia" w:ascii="宋体"/>
                <w:b/>
                <w:bCs/>
                <w:sz w:val="24"/>
                <w:szCs w:val="24"/>
              </w:rPr>
              <w:t>风险提示：</w:t>
            </w:r>
          </w:p>
          <w:p w14:paraId="452D1F38">
            <w:pPr>
              <w:numPr>
                <w:ilvl w:val="0"/>
                <w:numId w:val="1"/>
              </w:numPr>
              <w:spacing w:line="360" w:lineRule="auto"/>
              <w:ind w:firstLine="482" w:firstLineChars="200"/>
              <w:rPr>
                <w:rFonts w:ascii="宋体"/>
                <w:b/>
                <w:bCs/>
                <w:sz w:val="24"/>
                <w:szCs w:val="24"/>
              </w:rPr>
            </w:pPr>
            <w:r>
              <w:rPr>
                <w:rFonts w:hint="eastAsia" w:ascii="宋体"/>
                <w:b/>
                <w:bCs/>
                <w:sz w:val="24"/>
                <w:szCs w:val="24"/>
              </w:rPr>
              <w:t>涉及对</w:t>
            </w:r>
            <w:r>
              <w:rPr>
                <w:rFonts w:hint="eastAsia" w:ascii="宋体" w:hAnsi="宋体"/>
                <w:b/>
                <w:bCs/>
                <w:sz w:val="24"/>
                <w:szCs w:val="24"/>
              </w:rPr>
              <w:t>人形机器人</w:t>
            </w:r>
            <w:r>
              <w:rPr>
                <w:rFonts w:hint="eastAsia" w:ascii="宋体"/>
                <w:b/>
                <w:bCs/>
                <w:sz w:val="24"/>
                <w:szCs w:val="24"/>
              </w:rPr>
              <w:t>行业的预测、公司发展战略规划等相关内容，不能视作公司或管理层对</w:t>
            </w:r>
            <w:r>
              <w:rPr>
                <w:rFonts w:hint="eastAsia" w:ascii="宋体" w:hAnsi="宋体"/>
                <w:b/>
                <w:bCs/>
                <w:sz w:val="24"/>
                <w:szCs w:val="24"/>
              </w:rPr>
              <w:t>人形机器人</w:t>
            </w:r>
            <w:r>
              <w:rPr>
                <w:rFonts w:hint="eastAsia" w:ascii="宋体"/>
                <w:b/>
                <w:bCs/>
                <w:sz w:val="24"/>
                <w:szCs w:val="24"/>
              </w:rPr>
              <w:t>行业、公司发展或业绩的承诺和保证，敬请广大投资者注意投资风险。</w:t>
            </w:r>
          </w:p>
          <w:p w14:paraId="64A43760">
            <w:pPr>
              <w:numPr>
                <w:ilvl w:val="0"/>
                <w:numId w:val="1"/>
              </w:numPr>
              <w:spacing w:line="360" w:lineRule="auto"/>
              <w:ind w:firstLine="482" w:firstLineChars="200"/>
              <w:rPr>
                <w:rFonts w:ascii="宋体"/>
                <w:b/>
                <w:bCs/>
                <w:sz w:val="24"/>
                <w:szCs w:val="24"/>
              </w:rPr>
            </w:pPr>
            <w:r>
              <w:rPr>
                <w:rFonts w:hint="eastAsia" w:ascii="宋体"/>
                <w:b/>
                <w:bCs/>
                <w:sz w:val="24"/>
                <w:szCs w:val="24"/>
              </w:rPr>
              <w:t>目前公司的柔性传感器尚在市场发展初期阶段，仍具有较高热点，后续公司能否持续获取订单，且其产品的技术方案、量产节奏、量产规模等方面均存在较大的不确定性，敬请广大投资者注意投资风险。</w:t>
            </w:r>
          </w:p>
          <w:p w14:paraId="4A237CF0">
            <w:pPr>
              <w:spacing w:line="360" w:lineRule="auto"/>
              <w:ind w:firstLine="480" w:firstLineChars="200"/>
              <w:rPr>
                <w:rFonts w:ascii="宋体" w:hAnsi="宋体"/>
                <w:sz w:val="24"/>
                <w:szCs w:val="24"/>
              </w:rPr>
            </w:pPr>
          </w:p>
        </w:tc>
      </w:tr>
      <w:tr w14:paraId="5B6A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3AAD239C">
            <w:pPr>
              <w:spacing w:line="360" w:lineRule="auto"/>
              <w:jc w:val="left"/>
              <w:rPr>
                <w:rFonts w:ascii="宋体" w:hAnsi="宋体" w:cs="Times New Roman"/>
                <w:b/>
                <w:bCs/>
                <w:iCs/>
                <w:sz w:val="24"/>
                <w:szCs w:val="24"/>
              </w:rPr>
            </w:pPr>
            <w:r>
              <w:rPr>
                <w:rFonts w:hint="eastAsia" w:ascii="宋体" w:hAnsi="宋体" w:cs="Times New Roman"/>
                <w:b/>
                <w:bCs/>
                <w:iCs/>
                <w:sz w:val="24"/>
                <w:szCs w:val="24"/>
              </w:rPr>
              <w:t>附件清单（如有）</w:t>
            </w:r>
          </w:p>
        </w:tc>
        <w:tc>
          <w:tcPr>
            <w:tcW w:w="7258" w:type="dxa"/>
          </w:tcPr>
          <w:p w14:paraId="1F3BFD21">
            <w:pPr>
              <w:spacing w:line="360" w:lineRule="auto"/>
              <w:rPr>
                <w:rFonts w:ascii="宋体" w:hAnsi="宋体" w:cs="Times New Roman"/>
                <w:bCs/>
                <w:iCs/>
                <w:sz w:val="24"/>
                <w:szCs w:val="24"/>
              </w:rPr>
            </w:pPr>
            <w:r>
              <w:rPr>
                <w:rFonts w:hint="eastAsia" w:ascii="宋体" w:hAnsi="宋体" w:cs="Times New Roman"/>
                <w:bCs/>
                <w:iCs/>
                <w:sz w:val="24"/>
                <w:szCs w:val="24"/>
              </w:rPr>
              <w:t>《附件1》</w:t>
            </w:r>
          </w:p>
        </w:tc>
      </w:tr>
      <w:tr w14:paraId="7BB2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219200C9">
            <w:pPr>
              <w:spacing w:line="360" w:lineRule="auto"/>
              <w:jc w:val="left"/>
              <w:rPr>
                <w:rFonts w:ascii="宋体" w:hAnsi="宋体" w:cs="Times New Roman"/>
                <w:b/>
                <w:bCs/>
                <w:iCs/>
                <w:sz w:val="24"/>
                <w:szCs w:val="24"/>
              </w:rPr>
            </w:pPr>
            <w:r>
              <w:rPr>
                <w:rFonts w:hint="eastAsia" w:ascii="宋体" w:hAnsi="宋体" w:cs="Times New Roman"/>
                <w:b/>
                <w:bCs/>
                <w:iCs/>
                <w:sz w:val="24"/>
                <w:szCs w:val="24"/>
              </w:rPr>
              <w:t>日期</w:t>
            </w:r>
          </w:p>
        </w:tc>
        <w:tc>
          <w:tcPr>
            <w:tcW w:w="7258" w:type="dxa"/>
            <w:vAlign w:val="center"/>
          </w:tcPr>
          <w:p w14:paraId="7934DA96">
            <w:pPr>
              <w:spacing w:line="360" w:lineRule="auto"/>
              <w:rPr>
                <w:rFonts w:ascii="宋体" w:hAnsi="宋体" w:cs="Times New Roman"/>
                <w:iCs/>
                <w:sz w:val="24"/>
                <w:szCs w:val="24"/>
              </w:rPr>
            </w:pPr>
            <w:r>
              <w:rPr>
                <w:rFonts w:hint="eastAsia" w:ascii="宋体" w:hAnsi="宋体" w:cs="Times New Roman"/>
                <w:iCs/>
                <w:sz w:val="24"/>
                <w:szCs w:val="24"/>
              </w:rPr>
              <w:t>2</w:t>
            </w:r>
            <w:r>
              <w:rPr>
                <w:rFonts w:ascii="宋体" w:hAnsi="宋体" w:cs="Times New Roman"/>
                <w:iCs/>
                <w:sz w:val="24"/>
                <w:szCs w:val="24"/>
              </w:rPr>
              <w:t>02</w:t>
            </w:r>
            <w:r>
              <w:rPr>
                <w:rFonts w:hint="eastAsia" w:ascii="宋体" w:hAnsi="宋体" w:cs="Times New Roman"/>
                <w:iCs/>
                <w:sz w:val="24"/>
                <w:szCs w:val="24"/>
              </w:rPr>
              <w:t>5年11月27日</w:t>
            </w:r>
          </w:p>
        </w:tc>
      </w:tr>
    </w:tbl>
    <w:p w14:paraId="0D2B41EF">
      <w:pPr>
        <w:rPr>
          <w:rFonts w:ascii="宋体" w:hAnsi="宋体" w:cs="Times New Roman"/>
          <w:bCs/>
          <w:iCs/>
          <w:sz w:val="24"/>
          <w:szCs w:val="24"/>
        </w:rPr>
      </w:pPr>
    </w:p>
    <w:p w14:paraId="16B376C6">
      <w:pPr>
        <w:rPr>
          <w:rFonts w:ascii="宋体" w:hAnsi="宋体" w:cs="Times New Roman"/>
          <w:bCs/>
          <w:iCs/>
          <w:sz w:val="24"/>
          <w:szCs w:val="24"/>
        </w:rPr>
      </w:pPr>
      <w:r>
        <w:rPr>
          <w:rFonts w:hint="eastAsia" w:ascii="宋体" w:hAnsi="宋体" w:cs="Times New Roman"/>
          <w:bCs/>
          <w:iCs/>
          <w:sz w:val="24"/>
          <w:szCs w:val="24"/>
        </w:rPr>
        <w:t>附件1</w:t>
      </w:r>
    </w:p>
    <w:tbl>
      <w:tblPr>
        <w:tblStyle w:val="11"/>
        <w:tblW w:w="86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20"/>
        <w:gridCol w:w="4932"/>
      </w:tblGrid>
      <w:tr w14:paraId="54E0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2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机构名称</w:t>
            </w:r>
          </w:p>
        </w:tc>
        <w:tc>
          <w:tcPr>
            <w:tcW w:w="4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4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机构名称</w:t>
            </w:r>
          </w:p>
        </w:tc>
      </w:tr>
      <w:tr w14:paraId="0868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1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6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申万宏源</w:t>
            </w:r>
          </w:p>
        </w:tc>
      </w:tr>
      <w:tr w14:paraId="302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2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野村东方国际证券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6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兴业证券</w:t>
            </w:r>
          </w:p>
        </w:tc>
      </w:tr>
      <w:tr w14:paraId="3DA8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9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国海证券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7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国泰海通</w:t>
            </w:r>
          </w:p>
        </w:tc>
      </w:tr>
      <w:tr w14:paraId="3235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B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东方阿尔法基金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B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财通证券</w:t>
            </w:r>
          </w:p>
        </w:tc>
      </w:tr>
      <w:tr w14:paraId="4145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9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9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鹏华基金</w:t>
            </w:r>
          </w:p>
        </w:tc>
      </w:tr>
      <w:tr w14:paraId="0625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2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C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辰光资本</w:t>
            </w:r>
          </w:p>
        </w:tc>
      </w:tr>
      <w:tr w14:paraId="235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8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国泰基金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8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长城证券</w:t>
            </w:r>
          </w:p>
        </w:tc>
      </w:tr>
      <w:tr w14:paraId="050D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8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国信证券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4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长江证券</w:t>
            </w:r>
          </w:p>
        </w:tc>
      </w:tr>
      <w:tr w14:paraId="5613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1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国元证券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D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招商证券</w:t>
            </w:r>
          </w:p>
        </w:tc>
      </w:tr>
      <w:tr w14:paraId="0C50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8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宏颐资本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5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国金证券</w:t>
            </w:r>
          </w:p>
        </w:tc>
      </w:tr>
      <w:tr w14:paraId="1DA1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8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鸿富基金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3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兴银理财</w:t>
            </w:r>
          </w:p>
        </w:tc>
      </w:tr>
      <w:tr w14:paraId="305A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4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华安证券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9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东北证券</w:t>
            </w:r>
          </w:p>
        </w:tc>
      </w:tr>
      <w:tr w14:paraId="6BC0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D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华金证券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A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东海证券</w:t>
            </w:r>
          </w:p>
        </w:tc>
      </w:tr>
      <w:tr w14:paraId="4A93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1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深圳榕树投资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A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毅远基金</w:t>
            </w:r>
          </w:p>
        </w:tc>
      </w:tr>
      <w:tr w14:paraId="3C62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3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鼎新并购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B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高竹基金</w:t>
            </w:r>
          </w:p>
        </w:tc>
      </w:tr>
      <w:tr w14:paraId="65B0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3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21世纪经济报道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7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佩蒂股份</w:t>
            </w:r>
          </w:p>
        </w:tc>
      </w:tr>
      <w:tr w14:paraId="4152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D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brilliance capital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B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深圳华众金融</w:t>
            </w:r>
          </w:p>
        </w:tc>
      </w:tr>
      <w:tr w14:paraId="48C9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2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爱建证券有限责任公司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5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山西证券</w:t>
            </w:r>
          </w:p>
        </w:tc>
      </w:tr>
      <w:tr w14:paraId="6F09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1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安徽黑猫新材料有限公司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A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上海报业集团｜财联社</w:t>
            </w:r>
          </w:p>
        </w:tc>
      </w:tr>
      <w:tr w14:paraId="0ABC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3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北京承泰淇投资有限公司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9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上海碧水泉私募基金管理有限公司</w:t>
            </w:r>
          </w:p>
        </w:tc>
      </w:tr>
      <w:tr w14:paraId="5B5A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4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北京方圆金鼎投资管理有限公司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D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上海傅利叶智能科技股份有限公司</w:t>
            </w:r>
          </w:p>
        </w:tc>
      </w:tr>
      <w:tr w14:paraId="170A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E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北京泰玥投资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上海恒穗资产管理中心</w:t>
            </w:r>
          </w:p>
        </w:tc>
      </w:tr>
      <w:tr w14:paraId="5479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5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东方财富证券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E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上海璟琦投资管理有限公司</w:t>
            </w:r>
          </w:p>
        </w:tc>
      </w:tr>
      <w:tr w14:paraId="6EE0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5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苍南县三新汽车油漆有限公司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6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上海恺博基金</w:t>
            </w:r>
          </w:p>
        </w:tc>
      </w:tr>
      <w:tr w14:paraId="6527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东华大学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2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上海芦田资产管理有限公司</w:t>
            </w:r>
          </w:p>
        </w:tc>
      </w:tr>
      <w:tr w14:paraId="459F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5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东吴证券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9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上海名禹资产管理有限公司</w:t>
            </w:r>
          </w:p>
        </w:tc>
      </w:tr>
      <w:tr w14:paraId="3782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5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东兴证券研究所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9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上海明溪资产</w:t>
            </w:r>
          </w:p>
        </w:tc>
      </w:tr>
      <w:tr w14:paraId="2D28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F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中泰证券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4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上海双凤印科网络科技有限公司</w:t>
            </w:r>
          </w:p>
        </w:tc>
      </w:tr>
      <w:tr w14:paraId="4FD2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雷赛智能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F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上海拓诚汇金信息科技有限公司</w:t>
            </w:r>
          </w:p>
        </w:tc>
      </w:tr>
      <w:tr w14:paraId="70FE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2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光大证券研究所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5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上海五地基金</w:t>
            </w:r>
          </w:p>
        </w:tc>
      </w:tr>
      <w:tr w14:paraId="4184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C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国际金融报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0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上海五聚资产管理有限公司</w:t>
            </w:r>
          </w:p>
        </w:tc>
      </w:tr>
      <w:tr w14:paraId="3BBB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7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杭州澄凯私募基金管理有限公司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D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上海戊戌资产</w:t>
            </w:r>
          </w:p>
        </w:tc>
      </w:tr>
      <w:tr w14:paraId="35B9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2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杭州知想数据科技有限公司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C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上海禧弘私募基金</w:t>
            </w:r>
          </w:p>
        </w:tc>
      </w:tr>
      <w:tr w14:paraId="18E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F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合肥嵩立科技有限公司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A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上海珠池资产管理有限公司</w:t>
            </w:r>
          </w:p>
        </w:tc>
      </w:tr>
      <w:tr w14:paraId="13A6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F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华能贵诚信托有限公司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0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上海证券报</w:t>
            </w:r>
          </w:p>
        </w:tc>
      </w:tr>
      <w:tr w14:paraId="1EC9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E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华泰机械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2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深圳市深投控基石私募股权基金管理有限公司</w:t>
            </w:r>
          </w:p>
        </w:tc>
      </w:tr>
      <w:tr w14:paraId="3ABD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6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华西证券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D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声通科技股份有限公司</w:t>
            </w:r>
          </w:p>
        </w:tc>
      </w:tr>
      <w:tr w14:paraId="275E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9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华鑫证券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1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苏州昊弘投资管理有限公司</w:t>
            </w:r>
          </w:p>
        </w:tc>
      </w:tr>
      <w:tr w14:paraId="7538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6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桦果（上海）文化传播有限公司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7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苏州中地不锈钢商用机械有限公司</w:t>
            </w:r>
          </w:p>
        </w:tc>
      </w:tr>
      <w:tr w14:paraId="4C27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C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汇华理财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9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拓诚资本</w:t>
            </w:r>
          </w:p>
        </w:tc>
      </w:tr>
      <w:tr w14:paraId="5BA0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8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嘉善县传媒中心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2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碳治研究院</w:t>
            </w:r>
          </w:p>
        </w:tc>
      </w:tr>
      <w:tr w14:paraId="306D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6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嘉兴市新闻传媒中心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9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香港颐泽济达科技集团有限公司</w:t>
            </w:r>
          </w:p>
        </w:tc>
      </w:tr>
      <w:tr w14:paraId="255D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A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建信保险资产管理有限公司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C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信达鲲鹏</w:t>
            </w:r>
          </w:p>
        </w:tc>
      </w:tr>
      <w:tr w14:paraId="2B05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F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建信养老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4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信达证券</w:t>
            </w:r>
          </w:p>
        </w:tc>
      </w:tr>
      <w:tr w14:paraId="12F6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3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0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盈科证券</w:t>
            </w:r>
          </w:p>
        </w:tc>
      </w:tr>
      <w:tr w14:paraId="62E3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4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江苏瑞瓦化工材料有限公司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1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甬兴证券</w:t>
            </w:r>
          </w:p>
        </w:tc>
      </w:tr>
      <w:tr w14:paraId="5D96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F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江西省金控融资租赁股份有限公司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8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昱晖泰投资</w:t>
            </w:r>
          </w:p>
        </w:tc>
      </w:tr>
      <w:tr w14:paraId="301F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6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金阊盛律所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B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煜晖泰投资有限公司</w:t>
            </w:r>
          </w:p>
        </w:tc>
      </w:tr>
      <w:tr w14:paraId="4BCA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D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元政基金</w:t>
            </w:r>
          </w:p>
        </w:tc>
      </w:tr>
      <w:tr w14:paraId="5160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1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九方智投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F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浙江弘悦私募基金管理有限公司</w:t>
            </w:r>
          </w:p>
        </w:tc>
      </w:tr>
      <w:tr w14:paraId="27F2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9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君牛基金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6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浙江金科汤姆猫文化产业股份有限公司</w:t>
            </w:r>
          </w:p>
        </w:tc>
      </w:tr>
      <w:tr w14:paraId="1D8B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9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磐厚资本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8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浙江清华柔性电子技术研究院</w:t>
            </w:r>
          </w:p>
        </w:tc>
      </w:tr>
      <w:tr w14:paraId="4E8E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1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浙江善正资产管理有限公司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3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中国机器人网</w:t>
            </w:r>
          </w:p>
        </w:tc>
      </w:tr>
      <w:tr w14:paraId="3798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A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浙江伟星资产管理有限公司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5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中国证券报</w:t>
            </w:r>
          </w:p>
        </w:tc>
      </w:tr>
      <w:tr w14:paraId="4D1F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E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浙商证券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6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中航证券</w:t>
            </w:r>
          </w:p>
        </w:tc>
      </w:tr>
      <w:tr w14:paraId="0631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F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浙商自营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6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证券时报</w:t>
            </w:r>
          </w:p>
        </w:tc>
      </w:tr>
      <w:tr w14:paraId="4FD2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3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证券日报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EDD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宁波均胜群英汽车系统股份有限公司</w:t>
            </w:r>
          </w:p>
        </w:tc>
      </w:tr>
    </w:tbl>
    <w:p w14:paraId="27AED11D">
      <w:pPr>
        <w:rPr>
          <w:rFonts w:hint="eastAsia" w:ascii="宋体" w:hAnsi="宋体" w:eastAsia="宋体" w:cs="Times New Roman"/>
          <w:bCs/>
          <w:iCs/>
          <w:sz w:val="24"/>
          <w:szCs w:val="24"/>
          <w:lang w:val="en-US" w:eastAsia="zh-CN"/>
        </w:rPr>
      </w:pPr>
    </w:p>
    <w:p w14:paraId="725F4AD9">
      <w:pPr>
        <w:rPr>
          <w:rFonts w:ascii="宋体" w:hAnsi="宋体" w:cs="Times New Roman"/>
          <w:bCs/>
          <w:iCs/>
          <w:sz w:val="24"/>
          <w:szCs w:val="24"/>
        </w:rPr>
      </w:pPr>
    </w:p>
    <w:sectPr>
      <w:footerReference r:id="rId3" w:type="default"/>
      <w:pgSz w:w="11906" w:h="16838"/>
      <w:pgMar w:top="1423" w:right="1797" w:bottom="142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3684">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p w14:paraId="44C14C2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AC89C"/>
    <w:multiLevelType w:val="singleLevel"/>
    <w:tmpl w:val="AD7AC8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MzAwMzhhZDYyNTY3OTUxNjEwODFlNjI5MjZiN2EifQ=="/>
    <w:docVar w:name="KSO_WPS_MARK_KEY" w:val="a3834838-84a0-4bf6-b69f-5593973aeb9b"/>
  </w:docVars>
  <w:rsids>
    <w:rsidRoot w:val="00B94C50"/>
    <w:rsid w:val="00003748"/>
    <w:rsid w:val="0001008A"/>
    <w:rsid w:val="00011A35"/>
    <w:rsid w:val="00012CDE"/>
    <w:rsid w:val="00036C4A"/>
    <w:rsid w:val="00041F2D"/>
    <w:rsid w:val="00053FE2"/>
    <w:rsid w:val="00055095"/>
    <w:rsid w:val="00066D8C"/>
    <w:rsid w:val="00072A65"/>
    <w:rsid w:val="00077E56"/>
    <w:rsid w:val="00081ECA"/>
    <w:rsid w:val="000876A5"/>
    <w:rsid w:val="00093543"/>
    <w:rsid w:val="00097F1A"/>
    <w:rsid w:val="000A21E9"/>
    <w:rsid w:val="000A5C1D"/>
    <w:rsid w:val="000E3873"/>
    <w:rsid w:val="000F18CD"/>
    <w:rsid w:val="000F2B33"/>
    <w:rsid w:val="00110519"/>
    <w:rsid w:val="001155CE"/>
    <w:rsid w:val="001262CD"/>
    <w:rsid w:val="00133492"/>
    <w:rsid w:val="00135C30"/>
    <w:rsid w:val="0015063C"/>
    <w:rsid w:val="001650B3"/>
    <w:rsid w:val="001932D3"/>
    <w:rsid w:val="00194DD7"/>
    <w:rsid w:val="001B226E"/>
    <w:rsid w:val="001B723D"/>
    <w:rsid w:val="001C25B7"/>
    <w:rsid w:val="001C3439"/>
    <w:rsid w:val="001D51C8"/>
    <w:rsid w:val="001E3615"/>
    <w:rsid w:val="001E785A"/>
    <w:rsid w:val="001F483F"/>
    <w:rsid w:val="00210EF3"/>
    <w:rsid w:val="00211462"/>
    <w:rsid w:val="00223643"/>
    <w:rsid w:val="0022572C"/>
    <w:rsid w:val="002262EF"/>
    <w:rsid w:val="00236703"/>
    <w:rsid w:val="00257959"/>
    <w:rsid w:val="00260367"/>
    <w:rsid w:val="00264D8F"/>
    <w:rsid w:val="002749EB"/>
    <w:rsid w:val="0029143C"/>
    <w:rsid w:val="00296348"/>
    <w:rsid w:val="002966A7"/>
    <w:rsid w:val="002967BA"/>
    <w:rsid w:val="002A190A"/>
    <w:rsid w:val="002A304B"/>
    <w:rsid w:val="002A4005"/>
    <w:rsid w:val="002B6F54"/>
    <w:rsid w:val="002C76A1"/>
    <w:rsid w:val="002D2021"/>
    <w:rsid w:val="002E0686"/>
    <w:rsid w:val="002E77CF"/>
    <w:rsid w:val="002F4770"/>
    <w:rsid w:val="00303CC6"/>
    <w:rsid w:val="00303CCD"/>
    <w:rsid w:val="0031181B"/>
    <w:rsid w:val="00313E36"/>
    <w:rsid w:val="00313FDF"/>
    <w:rsid w:val="003170A5"/>
    <w:rsid w:val="00331410"/>
    <w:rsid w:val="00342698"/>
    <w:rsid w:val="003624C5"/>
    <w:rsid w:val="00367347"/>
    <w:rsid w:val="00381804"/>
    <w:rsid w:val="003830BB"/>
    <w:rsid w:val="0038451C"/>
    <w:rsid w:val="00391CED"/>
    <w:rsid w:val="003A3053"/>
    <w:rsid w:val="003A4281"/>
    <w:rsid w:val="003B147C"/>
    <w:rsid w:val="003B64D5"/>
    <w:rsid w:val="003D5E84"/>
    <w:rsid w:val="003F079D"/>
    <w:rsid w:val="00405713"/>
    <w:rsid w:val="00410009"/>
    <w:rsid w:val="00444385"/>
    <w:rsid w:val="00450E98"/>
    <w:rsid w:val="00452D25"/>
    <w:rsid w:val="00470A66"/>
    <w:rsid w:val="00471EF8"/>
    <w:rsid w:val="004872DA"/>
    <w:rsid w:val="00495CD1"/>
    <w:rsid w:val="004B2FE2"/>
    <w:rsid w:val="004B7BB2"/>
    <w:rsid w:val="004E066D"/>
    <w:rsid w:val="00513934"/>
    <w:rsid w:val="005232AF"/>
    <w:rsid w:val="00531F67"/>
    <w:rsid w:val="00536D2D"/>
    <w:rsid w:val="00550E69"/>
    <w:rsid w:val="00552152"/>
    <w:rsid w:val="00570D0D"/>
    <w:rsid w:val="005A058C"/>
    <w:rsid w:val="005A1A68"/>
    <w:rsid w:val="005A6F19"/>
    <w:rsid w:val="005B485C"/>
    <w:rsid w:val="005B7E57"/>
    <w:rsid w:val="005D0541"/>
    <w:rsid w:val="005D0BFA"/>
    <w:rsid w:val="005E0EAD"/>
    <w:rsid w:val="005E1EC7"/>
    <w:rsid w:val="005E5E91"/>
    <w:rsid w:val="00603FAB"/>
    <w:rsid w:val="00623FB8"/>
    <w:rsid w:val="006250F6"/>
    <w:rsid w:val="00627306"/>
    <w:rsid w:val="00631E88"/>
    <w:rsid w:val="00641283"/>
    <w:rsid w:val="00652BE2"/>
    <w:rsid w:val="006552AA"/>
    <w:rsid w:val="00683F46"/>
    <w:rsid w:val="00691EAA"/>
    <w:rsid w:val="006B56B9"/>
    <w:rsid w:val="006D1272"/>
    <w:rsid w:val="00707369"/>
    <w:rsid w:val="007331A8"/>
    <w:rsid w:val="007351A7"/>
    <w:rsid w:val="00740827"/>
    <w:rsid w:val="0074154F"/>
    <w:rsid w:val="0076184D"/>
    <w:rsid w:val="00794D10"/>
    <w:rsid w:val="0079774C"/>
    <w:rsid w:val="00797DF6"/>
    <w:rsid w:val="007A24B2"/>
    <w:rsid w:val="007A46C4"/>
    <w:rsid w:val="007A6470"/>
    <w:rsid w:val="007B3E5C"/>
    <w:rsid w:val="007C1647"/>
    <w:rsid w:val="007C1AF9"/>
    <w:rsid w:val="007C29A9"/>
    <w:rsid w:val="007D38C7"/>
    <w:rsid w:val="007E2F10"/>
    <w:rsid w:val="007F4F77"/>
    <w:rsid w:val="00810A63"/>
    <w:rsid w:val="00821EF1"/>
    <w:rsid w:val="00823548"/>
    <w:rsid w:val="00863CF2"/>
    <w:rsid w:val="00864348"/>
    <w:rsid w:val="008714C9"/>
    <w:rsid w:val="00882563"/>
    <w:rsid w:val="00883806"/>
    <w:rsid w:val="0089482B"/>
    <w:rsid w:val="008D4393"/>
    <w:rsid w:val="008D46FC"/>
    <w:rsid w:val="008D4D59"/>
    <w:rsid w:val="008D54A7"/>
    <w:rsid w:val="008D57F5"/>
    <w:rsid w:val="008D65B6"/>
    <w:rsid w:val="008E10C6"/>
    <w:rsid w:val="008E1FBC"/>
    <w:rsid w:val="008F7CAC"/>
    <w:rsid w:val="008F7D92"/>
    <w:rsid w:val="0090427B"/>
    <w:rsid w:val="00924B6A"/>
    <w:rsid w:val="009275E0"/>
    <w:rsid w:val="0093064C"/>
    <w:rsid w:val="00936887"/>
    <w:rsid w:val="00955AA1"/>
    <w:rsid w:val="00960FDD"/>
    <w:rsid w:val="00963DB3"/>
    <w:rsid w:val="00966EC4"/>
    <w:rsid w:val="00976C58"/>
    <w:rsid w:val="00977B1E"/>
    <w:rsid w:val="00982F95"/>
    <w:rsid w:val="0098657E"/>
    <w:rsid w:val="00991702"/>
    <w:rsid w:val="00993BBB"/>
    <w:rsid w:val="009A1AAC"/>
    <w:rsid w:val="009C3C32"/>
    <w:rsid w:val="009E4C7E"/>
    <w:rsid w:val="009F1591"/>
    <w:rsid w:val="009F2F1E"/>
    <w:rsid w:val="00A02EED"/>
    <w:rsid w:val="00A174A3"/>
    <w:rsid w:val="00A3359D"/>
    <w:rsid w:val="00A4039C"/>
    <w:rsid w:val="00A40990"/>
    <w:rsid w:val="00A60456"/>
    <w:rsid w:val="00A647D6"/>
    <w:rsid w:val="00A71746"/>
    <w:rsid w:val="00A72139"/>
    <w:rsid w:val="00A72F96"/>
    <w:rsid w:val="00A73927"/>
    <w:rsid w:val="00A73BC9"/>
    <w:rsid w:val="00A759E6"/>
    <w:rsid w:val="00A83E12"/>
    <w:rsid w:val="00A9065C"/>
    <w:rsid w:val="00A9202F"/>
    <w:rsid w:val="00A9477C"/>
    <w:rsid w:val="00A97D40"/>
    <w:rsid w:val="00AA3AE9"/>
    <w:rsid w:val="00AA471B"/>
    <w:rsid w:val="00AA5FDC"/>
    <w:rsid w:val="00AC284C"/>
    <w:rsid w:val="00AE58C7"/>
    <w:rsid w:val="00B17990"/>
    <w:rsid w:val="00B42E27"/>
    <w:rsid w:val="00B509FA"/>
    <w:rsid w:val="00B607A5"/>
    <w:rsid w:val="00B65A08"/>
    <w:rsid w:val="00B73F72"/>
    <w:rsid w:val="00B94C50"/>
    <w:rsid w:val="00BB0166"/>
    <w:rsid w:val="00BB61DA"/>
    <w:rsid w:val="00BC4B0B"/>
    <w:rsid w:val="00BD3C0D"/>
    <w:rsid w:val="00BD7A3D"/>
    <w:rsid w:val="00BF3DBF"/>
    <w:rsid w:val="00C2004A"/>
    <w:rsid w:val="00C35F09"/>
    <w:rsid w:val="00C45567"/>
    <w:rsid w:val="00C46E27"/>
    <w:rsid w:val="00C50989"/>
    <w:rsid w:val="00C517FD"/>
    <w:rsid w:val="00C74AAE"/>
    <w:rsid w:val="00C8255E"/>
    <w:rsid w:val="00C9091C"/>
    <w:rsid w:val="00CA1F01"/>
    <w:rsid w:val="00CA7B61"/>
    <w:rsid w:val="00CC4AB9"/>
    <w:rsid w:val="00CC783F"/>
    <w:rsid w:val="00CD36E1"/>
    <w:rsid w:val="00CD79DA"/>
    <w:rsid w:val="00CE08DF"/>
    <w:rsid w:val="00CE55C1"/>
    <w:rsid w:val="00D161EF"/>
    <w:rsid w:val="00D31AE6"/>
    <w:rsid w:val="00D33AA9"/>
    <w:rsid w:val="00D3622A"/>
    <w:rsid w:val="00D41DEE"/>
    <w:rsid w:val="00D4479B"/>
    <w:rsid w:val="00D4484D"/>
    <w:rsid w:val="00D628FD"/>
    <w:rsid w:val="00D64015"/>
    <w:rsid w:val="00D64ED9"/>
    <w:rsid w:val="00D810B1"/>
    <w:rsid w:val="00D83847"/>
    <w:rsid w:val="00D8532D"/>
    <w:rsid w:val="00DC35D0"/>
    <w:rsid w:val="00DC6C67"/>
    <w:rsid w:val="00DE668C"/>
    <w:rsid w:val="00DE6A16"/>
    <w:rsid w:val="00DF18B7"/>
    <w:rsid w:val="00E00BF7"/>
    <w:rsid w:val="00E01542"/>
    <w:rsid w:val="00E16FD5"/>
    <w:rsid w:val="00E236DD"/>
    <w:rsid w:val="00E559A2"/>
    <w:rsid w:val="00E6169F"/>
    <w:rsid w:val="00E62792"/>
    <w:rsid w:val="00E71446"/>
    <w:rsid w:val="00E72D28"/>
    <w:rsid w:val="00EE7642"/>
    <w:rsid w:val="00EF1FD5"/>
    <w:rsid w:val="00F0408B"/>
    <w:rsid w:val="00F057E9"/>
    <w:rsid w:val="00F14C92"/>
    <w:rsid w:val="00F1676A"/>
    <w:rsid w:val="00F16DD6"/>
    <w:rsid w:val="00F24524"/>
    <w:rsid w:val="00F3509A"/>
    <w:rsid w:val="00F469EE"/>
    <w:rsid w:val="00F5164C"/>
    <w:rsid w:val="00F56FC3"/>
    <w:rsid w:val="00F614D1"/>
    <w:rsid w:val="00F838D5"/>
    <w:rsid w:val="00F9730F"/>
    <w:rsid w:val="00F97689"/>
    <w:rsid w:val="00FB523C"/>
    <w:rsid w:val="00FC7F15"/>
    <w:rsid w:val="00FD437A"/>
    <w:rsid w:val="00FE6AE3"/>
    <w:rsid w:val="01066A48"/>
    <w:rsid w:val="02117D9A"/>
    <w:rsid w:val="02527DA9"/>
    <w:rsid w:val="03F400FF"/>
    <w:rsid w:val="044D5B72"/>
    <w:rsid w:val="05613AD2"/>
    <w:rsid w:val="05E03D0C"/>
    <w:rsid w:val="0669325F"/>
    <w:rsid w:val="06ED43D6"/>
    <w:rsid w:val="0A0330D1"/>
    <w:rsid w:val="0A147F4C"/>
    <w:rsid w:val="0A9E3E01"/>
    <w:rsid w:val="0D556D8D"/>
    <w:rsid w:val="0DA07645"/>
    <w:rsid w:val="0DEF71E2"/>
    <w:rsid w:val="10A41E19"/>
    <w:rsid w:val="10B97633"/>
    <w:rsid w:val="10DC5535"/>
    <w:rsid w:val="11466EEB"/>
    <w:rsid w:val="124D4798"/>
    <w:rsid w:val="12A372EC"/>
    <w:rsid w:val="13117313"/>
    <w:rsid w:val="13294F44"/>
    <w:rsid w:val="14706840"/>
    <w:rsid w:val="14944D78"/>
    <w:rsid w:val="14A70815"/>
    <w:rsid w:val="15B825AF"/>
    <w:rsid w:val="161F618A"/>
    <w:rsid w:val="169A5732"/>
    <w:rsid w:val="18F07A15"/>
    <w:rsid w:val="193E2DCB"/>
    <w:rsid w:val="197D37E5"/>
    <w:rsid w:val="1AE259D8"/>
    <w:rsid w:val="1C5E4EFC"/>
    <w:rsid w:val="1C8C4A6C"/>
    <w:rsid w:val="1E164317"/>
    <w:rsid w:val="1E1D01DB"/>
    <w:rsid w:val="1EF67432"/>
    <w:rsid w:val="1F1351E9"/>
    <w:rsid w:val="20E97AC1"/>
    <w:rsid w:val="21115269"/>
    <w:rsid w:val="228F4698"/>
    <w:rsid w:val="22F61C41"/>
    <w:rsid w:val="24B0459D"/>
    <w:rsid w:val="25F9650B"/>
    <w:rsid w:val="263F0183"/>
    <w:rsid w:val="27602DE7"/>
    <w:rsid w:val="27781B9E"/>
    <w:rsid w:val="28F2481C"/>
    <w:rsid w:val="2A261CBC"/>
    <w:rsid w:val="2A497822"/>
    <w:rsid w:val="2A7412A2"/>
    <w:rsid w:val="2A90243D"/>
    <w:rsid w:val="2B067F68"/>
    <w:rsid w:val="2C6A3498"/>
    <w:rsid w:val="2CE92A50"/>
    <w:rsid w:val="2D284BB4"/>
    <w:rsid w:val="2D407F4C"/>
    <w:rsid w:val="2D55028C"/>
    <w:rsid w:val="2F49728F"/>
    <w:rsid w:val="30793384"/>
    <w:rsid w:val="30EA2FB7"/>
    <w:rsid w:val="336E7556"/>
    <w:rsid w:val="33B522B9"/>
    <w:rsid w:val="33D82DC4"/>
    <w:rsid w:val="35F37727"/>
    <w:rsid w:val="36F741C0"/>
    <w:rsid w:val="377C3728"/>
    <w:rsid w:val="37F406F2"/>
    <w:rsid w:val="38ED6BF3"/>
    <w:rsid w:val="391021AE"/>
    <w:rsid w:val="394109C9"/>
    <w:rsid w:val="3AF107ED"/>
    <w:rsid w:val="3B7F1712"/>
    <w:rsid w:val="3C454A78"/>
    <w:rsid w:val="3CE82ECA"/>
    <w:rsid w:val="3F5B7E6D"/>
    <w:rsid w:val="3FDE0FDB"/>
    <w:rsid w:val="41856FE0"/>
    <w:rsid w:val="418C3EED"/>
    <w:rsid w:val="419D38A3"/>
    <w:rsid w:val="427F7E2D"/>
    <w:rsid w:val="42A46591"/>
    <w:rsid w:val="430F7403"/>
    <w:rsid w:val="442D7B2C"/>
    <w:rsid w:val="4475773A"/>
    <w:rsid w:val="45B83507"/>
    <w:rsid w:val="471F2091"/>
    <w:rsid w:val="478671A1"/>
    <w:rsid w:val="47DE6468"/>
    <w:rsid w:val="48522F43"/>
    <w:rsid w:val="485D30D5"/>
    <w:rsid w:val="49355CE9"/>
    <w:rsid w:val="4A7F112E"/>
    <w:rsid w:val="4AE478DC"/>
    <w:rsid w:val="4C5A6380"/>
    <w:rsid w:val="4E121B55"/>
    <w:rsid w:val="4E667237"/>
    <w:rsid w:val="4FC730A4"/>
    <w:rsid w:val="4FE92D8A"/>
    <w:rsid w:val="51C12E42"/>
    <w:rsid w:val="5290036C"/>
    <w:rsid w:val="540A2677"/>
    <w:rsid w:val="547B1529"/>
    <w:rsid w:val="557B7D23"/>
    <w:rsid w:val="57633422"/>
    <w:rsid w:val="57AD25FE"/>
    <w:rsid w:val="57CB25AC"/>
    <w:rsid w:val="57E3340C"/>
    <w:rsid w:val="59864E85"/>
    <w:rsid w:val="59DC0F38"/>
    <w:rsid w:val="59E85337"/>
    <w:rsid w:val="59F367F2"/>
    <w:rsid w:val="5A5B1025"/>
    <w:rsid w:val="5AED2C74"/>
    <w:rsid w:val="5BE52173"/>
    <w:rsid w:val="5BF92507"/>
    <w:rsid w:val="5C201D8F"/>
    <w:rsid w:val="5CDF3149"/>
    <w:rsid w:val="5DB03139"/>
    <w:rsid w:val="5F246AEA"/>
    <w:rsid w:val="5F92546E"/>
    <w:rsid w:val="60CD53C0"/>
    <w:rsid w:val="61AB0FA1"/>
    <w:rsid w:val="62A23B09"/>
    <w:rsid w:val="62E35A7A"/>
    <w:rsid w:val="637C0150"/>
    <w:rsid w:val="642F69A3"/>
    <w:rsid w:val="64D85196"/>
    <w:rsid w:val="64F7097A"/>
    <w:rsid w:val="652E32C1"/>
    <w:rsid w:val="65E35C92"/>
    <w:rsid w:val="67171665"/>
    <w:rsid w:val="67464C22"/>
    <w:rsid w:val="678E5BEE"/>
    <w:rsid w:val="681304D3"/>
    <w:rsid w:val="68F06F2B"/>
    <w:rsid w:val="691409AD"/>
    <w:rsid w:val="69166546"/>
    <w:rsid w:val="69392234"/>
    <w:rsid w:val="696E20F2"/>
    <w:rsid w:val="69AB4EB6"/>
    <w:rsid w:val="6A1B1B6D"/>
    <w:rsid w:val="6A9D2C3C"/>
    <w:rsid w:val="6AA046FB"/>
    <w:rsid w:val="6C3A04AE"/>
    <w:rsid w:val="6C77379F"/>
    <w:rsid w:val="6D782168"/>
    <w:rsid w:val="6D7D6E05"/>
    <w:rsid w:val="6DA1788F"/>
    <w:rsid w:val="6E0C3048"/>
    <w:rsid w:val="6F640099"/>
    <w:rsid w:val="6F71097A"/>
    <w:rsid w:val="6F7D77C0"/>
    <w:rsid w:val="700D20BB"/>
    <w:rsid w:val="70AE3508"/>
    <w:rsid w:val="71296F3C"/>
    <w:rsid w:val="72B56DCF"/>
    <w:rsid w:val="734621EC"/>
    <w:rsid w:val="73910668"/>
    <w:rsid w:val="73D21A17"/>
    <w:rsid w:val="74F146EB"/>
    <w:rsid w:val="75192C18"/>
    <w:rsid w:val="7588638B"/>
    <w:rsid w:val="763E4DD3"/>
    <w:rsid w:val="769B5C41"/>
    <w:rsid w:val="76C15D6B"/>
    <w:rsid w:val="76F15606"/>
    <w:rsid w:val="787968F6"/>
    <w:rsid w:val="79AA7F60"/>
    <w:rsid w:val="7AC7547F"/>
    <w:rsid w:val="7B4B5354"/>
    <w:rsid w:val="7B922FC1"/>
    <w:rsid w:val="7C305719"/>
    <w:rsid w:val="7C653614"/>
    <w:rsid w:val="7D4742F4"/>
    <w:rsid w:val="7DE71E07"/>
    <w:rsid w:val="7DF7797A"/>
    <w:rsid w:val="7E2F4237"/>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w:basedOn w:val="1"/>
    <w:link w:val="19"/>
    <w:qFormat/>
    <w:uiPriority w:val="99"/>
    <w:pPr>
      <w:widowControl/>
      <w:spacing w:after="120" w:line="276" w:lineRule="auto"/>
      <w:jc w:val="left"/>
    </w:pPr>
    <w:rPr>
      <w:rFonts w:ascii="宋体" w:hAnsi="宋体"/>
      <w:kern w:val="0"/>
      <w:sz w:val="22"/>
      <w:lang w:eastAsia="en-US"/>
    </w:rPr>
  </w:style>
  <w:style w:type="paragraph" w:styleId="5">
    <w:name w:val="Balloon Text"/>
    <w:basedOn w:val="1"/>
    <w:link w:val="20"/>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3"/>
    <w:next w:val="3"/>
    <w:link w:val="24"/>
    <w:qFormat/>
    <w:uiPriority w:val="99"/>
    <w:rPr>
      <w:b/>
      <w:bC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b/>
    </w:rPr>
  </w:style>
  <w:style w:type="character" w:styleId="15">
    <w:name w:val="Hyperlink"/>
    <w:unhideWhenUsed/>
    <w:qFormat/>
    <w:uiPriority w:val="99"/>
    <w:rPr>
      <w:color w:val="0563C1"/>
      <w:u w:val="single"/>
    </w:rPr>
  </w:style>
  <w:style w:type="character" w:styleId="16">
    <w:name w:val="annotation reference"/>
    <w:qFormat/>
    <w:uiPriority w:val="99"/>
    <w:rPr>
      <w:sz w:val="21"/>
      <w:szCs w:val="21"/>
    </w:rPr>
  </w:style>
  <w:style w:type="character" w:customStyle="1" w:styleId="17">
    <w:name w:val="标题 3 字符"/>
    <w:link w:val="2"/>
    <w:qFormat/>
    <w:uiPriority w:val="9"/>
    <w:rPr>
      <w:b/>
      <w:bCs/>
      <w:kern w:val="2"/>
      <w:sz w:val="32"/>
      <w:szCs w:val="32"/>
    </w:rPr>
  </w:style>
  <w:style w:type="character" w:customStyle="1" w:styleId="18">
    <w:name w:val="批注文字 字符"/>
    <w:link w:val="3"/>
    <w:qFormat/>
    <w:uiPriority w:val="99"/>
    <w:rPr>
      <w:kern w:val="2"/>
      <w:sz w:val="21"/>
      <w:szCs w:val="22"/>
    </w:rPr>
  </w:style>
  <w:style w:type="character" w:customStyle="1" w:styleId="19">
    <w:name w:val="正文文本 字符"/>
    <w:link w:val="4"/>
    <w:qFormat/>
    <w:uiPriority w:val="99"/>
    <w:rPr>
      <w:rFonts w:ascii="宋体" w:hAnsi="宋体" w:eastAsia="宋体"/>
      <w:sz w:val="22"/>
      <w:szCs w:val="22"/>
      <w:lang w:eastAsia="en-US"/>
    </w:rPr>
  </w:style>
  <w:style w:type="character" w:customStyle="1" w:styleId="20">
    <w:name w:val="批注框文本 字符"/>
    <w:link w:val="5"/>
    <w:qFormat/>
    <w:uiPriority w:val="99"/>
    <w:rPr>
      <w:kern w:val="2"/>
      <w:sz w:val="18"/>
      <w:szCs w:val="18"/>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99"/>
    <w:rPr>
      <w:kern w:val="2"/>
      <w:sz w:val="18"/>
      <w:szCs w:val="18"/>
    </w:rPr>
  </w:style>
  <w:style w:type="character" w:customStyle="1" w:styleId="23">
    <w:name w:val="HTML 预设格式 字符"/>
    <w:link w:val="8"/>
    <w:qFormat/>
    <w:uiPriority w:val="0"/>
    <w:rPr>
      <w:rFonts w:ascii="宋体" w:hAnsi="宋体" w:eastAsia="宋体" w:cs="Times New Roman"/>
      <w:sz w:val="24"/>
      <w:szCs w:val="24"/>
    </w:rPr>
  </w:style>
  <w:style w:type="character" w:customStyle="1" w:styleId="24">
    <w:name w:val="批注主题 字符"/>
    <w:link w:val="10"/>
    <w:qFormat/>
    <w:uiPriority w:val="99"/>
    <w:rPr>
      <w:b/>
      <w:bCs/>
      <w:kern w:val="2"/>
      <w:sz w:val="21"/>
      <w:szCs w:val="22"/>
    </w:rPr>
  </w:style>
  <w:style w:type="paragraph" w:styleId="25">
    <w:name w:val="List Paragraph"/>
    <w:basedOn w:val="1"/>
    <w:qFormat/>
    <w:uiPriority w:val="99"/>
    <w:pPr>
      <w:ind w:firstLine="420" w:firstLineChars="200"/>
    </w:pPr>
  </w:style>
  <w:style w:type="paragraph" w:customStyle="1" w:styleId="26">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27">
    <w:name w:val="修订1"/>
    <w:qFormat/>
    <w:uiPriority w:val="99"/>
    <w:rPr>
      <w:rFonts w:ascii="Calibri" w:hAnsi="Calibri" w:eastAsia="宋体" w:cs="宋体"/>
      <w:kern w:val="2"/>
      <w:sz w:val="21"/>
      <w:szCs w:val="22"/>
      <w:lang w:val="en-US" w:eastAsia="zh-CN" w:bidi="ar-SA"/>
    </w:rPr>
  </w:style>
  <w:style w:type="character" w:customStyle="1" w:styleId="28">
    <w:name w:val="未处理的提及1"/>
    <w:semiHidden/>
    <w:unhideWhenUsed/>
    <w:qFormat/>
    <w:uiPriority w:val="99"/>
    <w:rPr>
      <w:color w:val="605E5C"/>
      <w:shd w:val="clear" w:color="auto" w:fill="E1DFDD"/>
    </w:rPr>
  </w:style>
  <w:style w:type="paragraph" w:customStyle="1" w:styleId="29">
    <w:name w:val="修订2"/>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3826</Words>
  <Characters>3927</Characters>
  <Lines>26</Lines>
  <Paragraphs>7</Paragraphs>
  <TotalTime>14</TotalTime>
  <ScaleCrop>false</ScaleCrop>
  <LinksUpToDate>false</LinksUpToDate>
  <CharactersWithSpaces>4048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2025-05-30T07:21:00Z</dcterms:created>
  <dc:creator>Li Xiang</dc:creator>
  <cp:lastModifiedBy>...xx</cp:lastModifiedBy>
  <dcterms:modified xsi:type="dcterms:W3CDTF">2025-11-27T09:12:55Z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C9EE1C5EE8A54C3C82F9F248B420F937_13</vt:lpwstr>
  </property>
  <property fmtid="{D5CDD505-2E9C-101B-9397-08002B2CF9AE}" pid="4" name="KSOTemplateDocerSaveRecord">
    <vt:lpwstr>eyJoZGlkIjoiOGYzN2YwOGE0NjA1ZGJiNTM3ZDJiNmRhNzZhYTFjOGQiLCJ1c2VySWQiOiIxMTU1Mzk2Njc5In0=</vt:lpwstr>
  </property>
</Properties>
</file>