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67835">
      <w:pPr>
        <w:spacing w:before="156" w:beforeLines="50" w:after="156" w:afterLines="50" w:line="400" w:lineRule="exact"/>
        <w:ind w:firstLine="723" w:firstLineChars="300"/>
        <w:rPr>
          <w:rFonts w:hint="eastAsia" w:ascii="宋体" w:hAnsi="宋体"/>
          <w:b/>
          <w:bCs/>
          <w:iCs/>
          <w:sz w:val="24"/>
        </w:rPr>
      </w:pPr>
      <w:r>
        <w:rPr>
          <w:rFonts w:hint="eastAsia" w:ascii="宋体" w:hAnsi="宋体"/>
          <w:b/>
          <w:bCs/>
          <w:iCs/>
          <w:sz w:val="24"/>
        </w:rPr>
        <w:t>证券代码：603194                           证券简称：中力股份</w:t>
      </w:r>
    </w:p>
    <w:p w14:paraId="57AE5FCC">
      <w:pPr>
        <w:autoSpaceDE w:val="0"/>
        <w:autoSpaceDN w:val="0"/>
        <w:adjustRightInd w:val="0"/>
        <w:snapToGrid w:val="0"/>
        <w:ind w:left="141" w:hanging="141" w:hangingChars="50"/>
        <w:jc w:val="center"/>
        <w:rPr>
          <w:rFonts w:hint="eastAsia" w:asciiTheme="minorEastAsia" w:hAnsiTheme="minorEastAsia" w:eastAsiaTheme="minorEastAsia"/>
          <w:b/>
          <w:sz w:val="28"/>
          <w:szCs w:val="24"/>
        </w:rPr>
      </w:pPr>
      <w:r>
        <w:rPr>
          <w:rFonts w:hint="eastAsia" w:asciiTheme="minorEastAsia" w:hAnsiTheme="minorEastAsia" w:eastAsiaTheme="minorEastAsia"/>
          <w:b/>
          <w:sz w:val="28"/>
          <w:szCs w:val="24"/>
        </w:rPr>
        <w:t>浙江中力机械股份有限公司投资者关系活动记录表</w:t>
      </w:r>
    </w:p>
    <w:p w14:paraId="579DE714">
      <w:pPr>
        <w:spacing w:line="400" w:lineRule="exact"/>
        <w:rPr>
          <w:rFonts w:hint="default" w:ascii="宋体" w:hAnsi="宋体" w:eastAsia="宋体"/>
          <w:bCs/>
          <w:iCs/>
          <w:sz w:val="24"/>
          <w:szCs w:val="24"/>
          <w:lang w:val="en-US" w:eastAsia="zh-CN"/>
        </w:rPr>
      </w:pPr>
      <w:r>
        <w:rPr>
          <w:rFonts w:hint="eastAsia" w:ascii="宋体" w:hAnsi="宋体"/>
          <w:bCs/>
          <w:iCs/>
          <w:sz w:val="24"/>
          <w:szCs w:val="24"/>
        </w:rPr>
        <w:t xml:space="preserve">                                                      编号：2025-01</w:t>
      </w:r>
      <w:r>
        <w:rPr>
          <w:rFonts w:hint="default" w:ascii="宋体" w:hAnsi="宋体"/>
          <w:bCs/>
          <w:iCs/>
          <w:sz w:val="24"/>
          <w:szCs w:val="24"/>
          <w:lang w:val="en-US"/>
        </w:rPr>
        <w:t>3</w:t>
      </w:r>
      <w:bookmarkStart w:id="0" w:name="_GoBack"/>
      <w:bookmarkEnd w:id="0"/>
    </w:p>
    <w:tbl>
      <w:tblPr>
        <w:tblStyle w:val="8"/>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29E8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31" w:type="dxa"/>
            <w:vAlign w:val="center"/>
          </w:tcPr>
          <w:p w14:paraId="5FB6DF87">
            <w:pPr>
              <w:rPr>
                <w:rFonts w:hint="eastAsia" w:ascii="宋体" w:hAnsi="宋体"/>
                <w:b/>
                <w:bCs/>
                <w:iCs/>
                <w:sz w:val="24"/>
                <w:szCs w:val="24"/>
              </w:rPr>
            </w:pPr>
            <w:r>
              <w:rPr>
                <w:rFonts w:hint="eastAsia" w:ascii="宋体" w:hAnsi="宋体"/>
                <w:b/>
                <w:bCs/>
                <w:iCs/>
                <w:sz w:val="24"/>
                <w:szCs w:val="24"/>
              </w:rPr>
              <w:t>投资者关系</w:t>
            </w:r>
          </w:p>
          <w:p w14:paraId="05AA2227">
            <w:pPr>
              <w:rPr>
                <w:rFonts w:hint="eastAsia" w:ascii="宋体" w:hAnsi="宋体"/>
                <w:b/>
                <w:bCs/>
                <w:iCs/>
                <w:sz w:val="24"/>
                <w:szCs w:val="24"/>
              </w:rPr>
            </w:pPr>
            <w:r>
              <w:rPr>
                <w:rFonts w:hint="eastAsia" w:ascii="宋体" w:hAnsi="宋体"/>
                <w:b/>
                <w:bCs/>
                <w:iCs/>
                <w:sz w:val="24"/>
                <w:szCs w:val="24"/>
              </w:rPr>
              <w:t>活动类别</w:t>
            </w:r>
          </w:p>
          <w:p w14:paraId="6AECD90E">
            <w:pPr>
              <w:rPr>
                <w:rFonts w:hint="eastAsia" w:ascii="宋体" w:hAnsi="宋体"/>
                <w:b/>
                <w:bCs/>
                <w:iCs/>
                <w:sz w:val="24"/>
                <w:szCs w:val="24"/>
              </w:rPr>
            </w:pPr>
          </w:p>
        </w:tc>
        <w:tc>
          <w:tcPr>
            <w:tcW w:w="6693" w:type="dxa"/>
          </w:tcPr>
          <w:p w14:paraId="1B4FD258">
            <w:pPr>
              <w:spacing w:line="480" w:lineRule="atLeast"/>
              <w:rPr>
                <w:rFonts w:hint="eastAsia" w:ascii="宋体" w:hAnsi="宋体"/>
                <w:bCs/>
                <w:iCs/>
                <w:sz w:val="24"/>
                <w:szCs w:val="24"/>
              </w:rPr>
            </w:pP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60452EF1">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5926BD80">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3E40AB32">
            <w:pPr>
              <w:tabs>
                <w:tab w:val="left" w:pos="3045"/>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现场参观</w:t>
            </w:r>
            <w:r>
              <w:rPr>
                <w:rFonts w:ascii="宋体" w:hAnsi="宋体"/>
                <w:bCs/>
                <w:iCs/>
                <w:sz w:val="24"/>
                <w:szCs w:val="24"/>
              </w:rPr>
              <w:tab/>
            </w:r>
          </w:p>
          <w:p w14:paraId="51F472E2">
            <w:pPr>
              <w:tabs>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其他 （</w:t>
            </w:r>
            <w:r>
              <w:rPr>
                <w:rFonts w:hint="eastAsia" w:ascii="宋体" w:hAnsi="宋体"/>
                <w:sz w:val="24"/>
                <w:szCs w:val="24"/>
                <w:u w:val="single"/>
              </w:rPr>
              <w:t>请文字说明其他活动内容）</w:t>
            </w:r>
          </w:p>
        </w:tc>
      </w:tr>
      <w:tr w14:paraId="59C8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1" w:type="dxa"/>
            <w:vAlign w:val="center"/>
          </w:tcPr>
          <w:p w14:paraId="483FF9AC">
            <w:pPr>
              <w:rPr>
                <w:rFonts w:hint="eastAsia" w:ascii="宋体" w:hAnsi="宋体"/>
                <w:b/>
                <w:bCs/>
                <w:iCs/>
                <w:sz w:val="24"/>
                <w:szCs w:val="24"/>
              </w:rPr>
            </w:pPr>
            <w:r>
              <w:rPr>
                <w:rFonts w:hint="eastAsia" w:ascii="宋体" w:hAnsi="宋体"/>
                <w:b/>
                <w:bCs/>
                <w:iCs/>
                <w:sz w:val="24"/>
                <w:szCs w:val="24"/>
              </w:rPr>
              <w:t>参与单位名称</w:t>
            </w:r>
          </w:p>
          <w:p w14:paraId="595A1B77">
            <w:pPr>
              <w:rPr>
                <w:rFonts w:hint="eastAsia" w:ascii="宋体" w:hAnsi="宋体"/>
                <w:b/>
                <w:bCs/>
                <w:iCs/>
                <w:sz w:val="24"/>
                <w:szCs w:val="24"/>
              </w:rPr>
            </w:pPr>
            <w:r>
              <w:rPr>
                <w:rFonts w:hint="eastAsia" w:ascii="宋体" w:hAnsi="宋体"/>
                <w:b/>
                <w:bCs/>
                <w:iCs/>
                <w:sz w:val="24"/>
                <w:szCs w:val="24"/>
              </w:rPr>
              <w:t>及人员姓名</w:t>
            </w:r>
          </w:p>
        </w:tc>
        <w:tc>
          <w:tcPr>
            <w:tcW w:w="6693" w:type="dxa"/>
          </w:tcPr>
          <w:p w14:paraId="5F5F928E">
            <w:pPr>
              <w:spacing w:line="480" w:lineRule="atLeast"/>
              <w:rPr>
                <w:rFonts w:hint="eastAsia" w:ascii="宋体" w:hAnsi="宋体" w:eastAsia="宋体"/>
                <w:bCs/>
                <w:iCs/>
                <w:sz w:val="24"/>
                <w:szCs w:val="24"/>
                <w:lang w:val="en-US" w:eastAsia="zh-CN"/>
              </w:rPr>
            </w:pPr>
            <w:r>
              <w:rPr>
                <w:rFonts w:hint="eastAsia" w:ascii="宋体" w:hAnsi="宋体"/>
                <w:bCs/>
                <w:iCs/>
                <w:sz w:val="24"/>
                <w:szCs w:val="24"/>
                <w:lang w:val="en-US" w:eastAsia="zh-CN"/>
              </w:rPr>
              <w:t>西部利得基金管理有限公司</w:t>
            </w:r>
            <w:r>
              <w:rPr>
                <w:rFonts w:hint="eastAsia" w:ascii="宋体" w:hAnsi="宋体"/>
                <w:bCs/>
                <w:iCs/>
                <w:sz w:val="24"/>
                <w:szCs w:val="24"/>
              </w:rPr>
              <w:t xml:space="preserve">  </w:t>
            </w:r>
            <w:r>
              <w:rPr>
                <w:rFonts w:hint="eastAsia" w:ascii="宋体" w:hAnsi="宋体"/>
                <w:bCs/>
                <w:iCs/>
                <w:sz w:val="24"/>
                <w:szCs w:val="24"/>
                <w:lang w:val="en-US" w:eastAsia="zh-CN"/>
              </w:rPr>
              <w:t>黄浦</w:t>
            </w:r>
          </w:p>
          <w:p w14:paraId="71C888B1">
            <w:pPr>
              <w:spacing w:line="480" w:lineRule="atLeast"/>
              <w:rPr>
                <w:rFonts w:hint="eastAsia" w:ascii="宋体" w:hAnsi="宋体" w:eastAsia="宋体"/>
                <w:bCs/>
                <w:iCs/>
                <w:sz w:val="24"/>
                <w:szCs w:val="24"/>
                <w:lang w:val="en-US" w:eastAsia="zh-CN"/>
              </w:rPr>
            </w:pPr>
            <w:r>
              <w:rPr>
                <w:rFonts w:hint="eastAsia" w:ascii="宋体" w:hAnsi="宋体"/>
                <w:bCs/>
                <w:iCs/>
                <w:sz w:val="24"/>
                <w:szCs w:val="24"/>
              </w:rPr>
              <w:t>中</w:t>
            </w:r>
            <w:r>
              <w:rPr>
                <w:rFonts w:hint="eastAsia" w:ascii="宋体" w:hAnsi="宋体"/>
                <w:bCs/>
                <w:iCs/>
                <w:sz w:val="24"/>
                <w:szCs w:val="24"/>
                <w:lang w:val="en-US" w:eastAsia="zh-CN"/>
              </w:rPr>
              <w:t>邮</w:t>
            </w:r>
            <w:r>
              <w:rPr>
                <w:rFonts w:hint="eastAsia" w:ascii="宋体" w:hAnsi="宋体"/>
                <w:bCs/>
                <w:iCs/>
                <w:sz w:val="24"/>
                <w:szCs w:val="24"/>
              </w:rPr>
              <w:t xml:space="preserve">证券股份有限公司  </w:t>
            </w:r>
            <w:r>
              <w:rPr>
                <w:rFonts w:hint="eastAsia" w:ascii="宋体" w:hAnsi="宋体"/>
                <w:bCs/>
                <w:iCs/>
                <w:sz w:val="24"/>
                <w:szCs w:val="24"/>
                <w:lang w:val="en-US" w:eastAsia="zh-CN"/>
              </w:rPr>
              <w:t>刘卓</w:t>
            </w:r>
          </w:p>
          <w:p w14:paraId="70DC9838">
            <w:pPr>
              <w:spacing w:line="480" w:lineRule="atLeast"/>
              <w:rPr>
                <w:rFonts w:hint="eastAsia" w:ascii="宋体" w:hAnsi="宋体"/>
                <w:bCs/>
                <w:iCs/>
                <w:sz w:val="24"/>
                <w:szCs w:val="24"/>
              </w:rPr>
            </w:pPr>
            <w:r>
              <w:rPr>
                <w:rFonts w:hint="eastAsia" w:ascii="宋体" w:hAnsi="宋体"/>
                <w:bCs/>
                <w:iCs/>
                <w:sz w:val="24"/>
                <w:szCs w:val="24"/>
              </w:rPr>
              <w:t>（按汉字拼音首字母顺序排列）</w:t>
            </w:r>
          </w:p>
        </w:tc>
      </w:tr>
      <w:tr w14:paraId="6DDC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vAlign w:val="center"/>
          </w:tcPr>
          <w:p w14:paraId="7B732EEB">
            <w:pPr>
              <w:rPr>
                <w:rFonts w:hint="eastAsia" w:ascii="宋体" w:hAnsi="宋体"/>
                <w:b/>
                <w:bCs/>
                <w:iCs/>
                <w:sz w:val="24"/>
                <w:szCs w:val="24"/>
              </w:rPr>
            </w:pPr>
            <w:r>
              <w:rPr>
                <w:rFonts w:hint="eastAsia" w:ascii="宋体" w:hAnsi="宋体"/>
                <w:b/>
                <w:bCs/>
                <w:iCs/>
                <w:sz w:val="24"/>
                <w:szCs w:val="24"/>
              </w:rPr>
              <w:t>时间</w:t>
            </w:r>
          </w:p>
        </w:tc>
        <w:tc>
          <w:tcPr>
            <w:tcW w:w="6693" w:type="dxa"/>
          </w:tcPr>
          <w:p w14:paraId="0CDBF897">
            <w:pPr>
              <w:spacing w:line="480" w:lineRule="atLeast"/>
              <w:rPr>
                <w:rFonts w:hint="eastAsia" w:ascii="宋体" w:hAnsi="宋体"/>
                <w:bCs/>
                <w:iCs/>
                <w:sz w:val="24"/>
                <w:szCs w:val="24"/>
              </w:rPr>
            </w:pPr>
            <w:r>
              <w:rPr>
                <w:rFonts w:hint="eastAsia" w:ascii="宋体" w:hAnsi="宋体"/>
                <w:bCs/>
                <w:iCs/>
                <w:sz w:val="24"/>
                <w:szCs w:val="24"/>
              </w:rPr>
              <w:t>2025年</w:t>
            </w:r>
            <w:r>
              <w:rPr>
                <w:rFonts w:hint="eastAsia" w:ascii="宋体" w:hAnsi="宋体"/>
                <w:bCs/>
                <w:iCs/>
                <w:sz w:val="24"/>
                <w:szCs w:val="24"/>
                <w:lang w:val="en-US" w:eastAsia="zh-CN"/>
              </w:rPr>
              <w:t>11</w:t>
            </w:r>
            <w:r>
              <w:rPr>
                <w:rFonts w:hint="eastAsia" w:ascii="宋体" w:hAnsi="宋体"/>
                <w:bCs/>
                <w:iCs/>
                <w:sz w:val="24"/>
                <w:szCs w:val="24"/>
              </w:rPr>
              <w:t>月</w:t>
            </w:r>
            <w:r>
              <w:rPr>
                <w:rFonts w:hint="eastAsia" w:ascii="宋体" w:hAnsi="宋体"/>
                <w:bCs/>
                <w:iCs/>
                <w:sz w:val="24"/>
                <w:szCs w:val="24"/>
                <w:lang w:val="en-US" w:eastAsia="zh-CN"/>
              </w:rPr>
              <w:t>28</w:t>
            </w:r>
            <w:r>
              <w:rPr>
                <w:rFonts w:hint="eastAsia" w:ascii="宋体" w:hAnsi="宋体"/>
                <w:bCs/>
                <w:iCs/>
                <w:sz w:val="24"/>
                <w:szCs w:val="24"/>
              </w:rPr>
              <w:t>日</w:t>
            </w:r>
          </w:p>
        </w:tc>
      </w:tr>
      <w:tr w14:paraId="3551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vAlign w:val="center"/>
          </w:tcPr>
          <w:p w14:paraId="3F0929F6">
            <w:pPr>
              <w:rPr>
                <w:rFonts w:hint="eastAsia" w:ascii="宋体" w:hAnsi="宋体"/>
                <w:b/>
                <w:bCs/>
                <w:iCs/>
                <w:sz w:val="24"/>
                <w:szCs w:val="24"/>
              </w:rPr>
            </w:pPr>
            <w:r>
              <w:rPr>
                <w:rFonts w:hint="eastAsia" w:ascii="宋体" w:hAnsi="宋体"/>
                <w:b/>
                <w:bCs/>
                <w:iCs/>
                <w:sz w:val="24"/>
                <w:szCs w:val="24"/>
              </w:rPr>
              <w:t>地点</w:t>
            </w:r>
          </w:p>
        </w:tc>
        <w:tc>
          <w:tcPr>
            <w:tcW w:w="6693" w:type="dxa"/>
          </w:tcPr>
          <w:p w14:paraId="5D9B9935">
            <w:pPr>
              <w:spacing w:line="480" w:lineRule="atLeast"/>
              <w:rPr>
                <w:rFonts w:hint="eastAsia" w:ascii="宋体" w:hAnsi="宋体"/>
                <w:bCs/>
                <w:iCs/>
                <w:sz w:val="24"/>
                <w:szCs w:val="24"/>
              </w:rPr>
            </w:pPr>
            <w:r>
              <w:rPr>
                <w:rFonts w:hint="eastAsia" w:ascii="宋体" w:hAnsi="宋体"/>
                <w:bCs/>
                <w:iCs/>
                <w:sz w:val="24"/>
                <w:szCs w:val="24"/>
              </w:rPr>
              <w:t>浙江</w:t>
            </w:r>
            <w:r>
              <w:rPr>
                <w:rFonts w:ascii="Cambria Math" w:hAnsi="Cambria Math" w:cs="Cambria Math"/>
                <w:bCs/>
                <w:iCs/>
                <w:sz w:val="24"/>
                <w:szCs w:val="24"/>
              </w:rPr>
              <w:t>∙</w:t>
            </w:r>
            <w:r>
              <w:rPr>
                <w:rFonts w:hint="eastAsia" w:ascii="宋体" w:hAnsi="宋体"/>
                <w:bCs/>
                <w:iCs/>
                <w:sz w:val="24"/>
                <w:szCs w:val="24"/>
              </w:rPr>
              <w:t>湖州安吉</w:t>
            </w:r>
            <w:r>
              <w:rPr>
                <w:rFonts w:ascii="Cambria Math" w:hAnsi="Cambria Math" w:cs="Cambria Math"/>
                <w:bCs/>
                <w:iCs/>
                <w:sz w:val="24"/>
                <w:szCs w:val="24"/>
              </w:rPr>
              <w:t>∙</w:t>
            </w:r>
            <w:r>
              <w:rPr>
                <w:rFonts w:hint="eastAsia" w:ascii="宋体" w:hAnsi="宋体"/>
                <w:bCs/>
                <w:iCs/>
                <w:sz w:val="24"/>
                <w:szCs w:val="24"/>
              </w:rPr>
              <w:t>中力股份（北区）</w:t>
            </w:r>
          </w:p>
        </w:tc>
      </w:tr>
      <w:tr w14:paraId="1E2E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vAlign w:val="center"/>
          </w:tcPr>
          <w:p w14:paraId="10DFC7DD">
            <w:pPr>
              <w:rPr>
                <w:rFonts w:hint="eastAsia" w:ascii="宋体" w:hAnsi="宋体"/>
                <w:b/>
                <w:bCs/>
                <w:iCs/>
                <w:sz w:val="24"/>
                <w:szCs w:val="24"/>
              </w:rPr>
            </w:pPr>
            <w:r>
              <w:rPr>
                <w:rFonts w:hint="eastAsia" w:ascii="宋体" w:hAnsi="宋体"/>
                <w:b/>
                <w:bCs/>
                <w:iCs/>
                <w:sz w:val="24"/>
                <w:szCs w:val="24"/>
              </w:rPr>
              <w:t>上市公司接待</w:t>
            </w:r>
          </w:p>
          <w:p w14:paraId="74032886">
            <w:pPr>
              <w:rPr>
                <w:rFonts w:hint="eastAsia" w:ascii="宋体" w:hAnsi="宋体"/>
                <w:b/>
                <w:bCs/>
                <w:iCs/>
                <w:sz w:val="24"/>
                <w:szCs w:val="24"/>
              </w:rPr>
            </w:pPr>
            <w:r>
              <w:rPr>
                <w:rFonts w:hint="eastAsia" w:ascii="宋体" w:hAnsi="宋体"/>
                <w:b/>
                <w:bCs/>
                <w:iCs/>
                <w:sz w:val="24"/>
                <w:szCs w:val="24"/>
              </w:rPr>
              <w:t>人员姓名</w:t>
            </w:r>
          </w:p>
        </w:tc>
        <w:tc>
          <w:tcPr>
            <w:tcW w:w="6693" w:type="dxa"/>
          </w:tcPr>
          <w:p w14:paraId="1A3BD100">
            <w:pPr>
              <w:spacing w:line="480" w:lineRule="atLeast"/>
              <w:rPr>
                <w:rFonts w:hint="eastAsia" w:ascii="宋体" w:hAnsi="宋体"/>
                <w:bCs/>
                <w:iCs/>
                <w:sz w:val="24"/>
                <w:szCs w:val="24"/>
              </w:rPr>
            </w:pPr>
            <w:r>
              <w:rPr>
                <w:rFonts w:hint="eastAsia" w:ascii="宋体" w:hAnsi="宋体"/>
                <w:bCs/>
                <w:iCs/>
                <w:sz w:val="24"/>
                <w:szCs w:val="24"/>
              </w:rPr>
              <w:t>董事、财务负责人：汪时锋</w:t>
            </w:r>
          </w:p>
          <w:p w14:paraId="159C365B">
            <w:pPr>
              <w:spacing w:line="480" w:lineRule="atLeast"/>
              <w:rPr>
                <w:rFonts w:hint="eastAsia" w:ascii="宋体" w:hAnsi="宋体" w:eastAsia="宋体"/>
                <w:bCs/>
                <w:iCs/>
                <w:sz w:val="24"/>
                <w:szCs w:val="24"/>
                <w:lang w:val="en-US" w:eastAsia="zh-CN"/>
              </w:rPr>
            </w:pPr>
            <w:r>
              <w:rPr>
                <w:rFonts w:hint="eastAsia" w:ascii="宋体" w:hAnsi="宋体"/>
                <w:bCs/>
                <w:iCs/>
                <w:sz w:val="24"/>
                <w:szCs w:val="24"/>
              </w:rPr>
              <w:t>证券事务</w:t>
            </w:r>
            <w:r>
              <w:rPr>
                <w:rFonts w:hint="eastAsia" w:ascii="宋体" w:hAnsi="宋体"/>
                <w:bCs/>
                <w:iCs/>
                <w:sz w:val="24"/>
                <w:szCs w:val="24"/>
                <w:lang w:val="en-US" w:eastAsia="zh-CN"/>
              </w:rPr>
              <w:t>专员</w:t>
            </w:r>
            <w:r>
              <w:rPr>
                <w:rFonts w:hint="eastAsia" w:ascii="宋体" w:hAnsi="宋体"/>
                <w:bCs/>
                <w:iCs/>
                <w:sz w:val="24"/>
                <w:szCs w:val="24"/>
              </w:rPr>
              <w:t>：</w:t>
            </w:r>
            <w:r>
              <w:rPr>
                <w:rFonts w:hint="eastAsia" w:ascii="宋体" w:hAnsi="宋体"/>
                <w:bCs/>
                <w:iCs/>
                <w:sz w:val="24"/>
                <w:szCs w:val="24"/>
                <w:lang w:val="en-US" w:eastAsia="zh-CN"/>
              </w:rPr>
              <w:t>王德仁</w:t>
            </w:r>
          </w:p>
          <w:p w14:paraId="38368235">
            <w:pPr>
              <w:spacing w:line="480" w:lineRule="atLeast"/>
              <w:rPr>
                <w:rFonts w:hint="eastAsia" w:ascii="宋体" w:hAnsi="宋体"/>
                <w:bCs/>
                <w:iCs/>
                <w:sz w:val="24"/>
                <w:szCs w:val="24"/>
              </w:rPr>
            </w:pPr>
          </w:p>
        </w:tc>
      </w:tr>
      <w:tr w14:paraId="1698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1931" w:type="dxa"/>
            <w:vAlign w:val="center"/>
          </w:tcPr>
          <w:p w14:paraId="673E331D">
            <w:pPr>
              <w:rPr>
                <w:rFonts w:hint="eastAsia" w:ascii="宋体" w:hAnsi="宋体"/>
                <w:b/>
                <w:bCs/>
                <w:iCs/>
                <w:sz w:val="24"/>
                <w:szCs w:val="24"/>
              </w:rPr>
            </w:pPr>
            <w:r>
              <w:rPr>
                <w:rFonts w:hint="eastAsia" w:ascii="宋体" w:hAnsi="宋体"/>
                <w:b/>
                <w:bCs/>
                <w:iCs/>
                <w:sz w:val="24"/>
                <w:szCs w:val="24"/>
              </w:rPr>
              <w:t>投资者关系活动主要内容介绍</w:t>
            </w:r>
          </w:p>
          <w:p w14:paraId="583BBDB8">
            <w:pPr>
              <w:rPr>
                <w:rFonts w:hint="eastAsia" w:ascii="宋体" w:hAnsi="宋体"/>
                <w:b/>
                <w:bCs/>
                <w:iCs/>
                <w:sz w:val="24"/>
                <w:szCs w:val="24"/>
              </w:rPr>
            </w:pPr>
          </w:p>
        </w:tc>
        <w:tc>
          <w:tcPr>
            <w:tcW w:w="6693" w:type="dxa"/>
          </w:tcPr>
          <w:p w14:paraId="7F0E8A96">
            <w:pPr>
              <w:spacing w:line="480" w:lineRule="atLeast"/>
              <w:rPr>
                <w:rFonts w:hint="eastAsia" w:ascii="宋体" w:hAnsi="宋体"/>
                <w:b/>
                <w:iCs/>
                <w:sz w:val="24"/>
                <w:szCs w:val="24"/>
              </w:rPr>
            </w:pPr>
            <w:r>
              <w:rPr>
                <w:rFonts w:hint="eastAsia" w:ascii="宋体" w:hAnsi="宋体"/>
                <w:b/>
                <w:iCs/>
                <w:sz w:val="24"/>
                <w:szCs w:val="24"/>
              </w:rPr>
              <w:t xml:space="preserve">一、活动流程 </w:t>
            </w:r>
          </w:p>
          <w:p w14:paraId="6BE7A7C8">
            <w:pPr>
              <w:spacing w:line="480" w:lineRule="atLeast"/>
              <w:rPr>
                <w:rFonts w:hint="eastAsia" w:ascii="宋体" w:hAnsi="宋体"/>
                <w:bCs/>
                <w:iCs/>
                <w:sz w:val="24"/>
                <w:szCs w:val="24"/>
              </w:rPr>
            </w:pPr>
            <w:r>
              <w:rPr>
                <w:rFonts w:hint="eastAsia" w:ascii="宋体" w:hAnsi="宋体"/>
                <w:bCs/>
                <w:iCs/>
                <w:sz w:val="24"/>
                <w:szCs w:val="24"/>
              </w:rPr>
              <w:t xml:space="preserve">1、参观公司展厅及产线、智慧物流应用场景； </w:t>
            </w:r>
          </w:p>
          <w:p w14:paraId="282BC905">
            <w:pPr>
              <w:spacing w:line="480" w:lineRule="atLeast"/>
              <w:rPr>
                <w:rFonts w:hint="eastAsia" w:ascii="宋体" w:hAnsi="宋体"/>
                <w:bCs/>
                <w:iCs/>
                <w:sz w:val="24"/>
                <w:szCs w:val="24"/>
              </w:rPr>
            </w:pPr>
            <w:r>
              <w:rPr>
                <w:rFonts w:hint="eastAsia" w:ascii="宋体" w:hAnsi="宋体"/>
                <w:bCs/>
                <w:iCs/>
                <w:sz w:val="24"/>
                <w:szCs w:val="24"/>
              </w:rPr>
              <w:t>2、公司情况介绍，数智仓储、智能物流情况介绍；</w:t>
            </w:r>
          </w:p>
          <w:p w14:paraId="3EEEFF41">
            <w:pPr>
              <w:spacing w:line="480" w:lineRule="atLeast"/>
              <w:rPr>
                <w:rFonts w:hint="eastAsia" w:ascii="宋体" w:hAnsi="宋体"/>
                <w:bCs/>
                <w:iCs/>
                <w:sz w:val="24"/>
                <w:szCs w:val="24"/>
              </w:rPr>
            </w:pPr>
            <w:r>
              <w:rPr>
                <w:rFonts w:hint="eastAsia" w:ascii="宋体" w:hAnsi="宋体"/>
                <w:bCs/>
                <w:iCs/>
                <w:sz w:val="24"/>
                <w:szCs w:val="24"/>
              </w:rPr>
              <w:t>3、</w:t>
            </w:r>
            <w:r>
              <w:rPr>
                <w:rFonts w:hint="eastAsia" w:ascii="宋体" w:hAnsi="宋体"/>
                <w:bCs/>
                <w:iCs/>
                <w:sz w:val="24"/>
                <w:szCs w:val="24"/>
                <w:lang w:val="en-US" w:eastAsia="zh-CN"/>
              </w:rPr>
              <w:t>第三</w:t>
            </w:r>
            <w:r>
              <w:rPr>
                <w:rFonts w:hint="eastAsia" w:ascii="宋体" w:hAnsi="宋体"/>
                <w:bCs/>
                <w:iCs/>
                <w:sz w:val="24"/>
                <w:szCs w:val="24"/>
              </w:rPr>
              <w:t>年度业绩情况交流</w:t>
            </w:r>
          </w:p>
          <w:p w14:paraId="30E41666">
            <w:pPr>
              <w:spacing w:line="480" w:lineRule="atLeast"/>
              <w:rPr>
                <w:rFonts w:hint="eastAsia" w:ascii="宋体" w:hAnsi="宋体"/>
                <w:bCs/>
                <w:iCs/>
                <w:sz w:val="24"/>
                <w:szCs w:val="24"/>
              </w:rPr>
            </w:pPr>
            <w:r>
              <w:rPr>
                <w:rFonts w:hint="eastAsia" w:ascii="宋体" w:hAnsi="宋体"/>
                <w:bCs/>
                <w:iCs/>
                <w:sz w:val="24"/>
                <w:szCs w:val="24"/>
              </w:rPr>
              <w:t>4、互动交流。</w:t>
            </w:r>
          </w:p>
          <w:p w14:paraId="63A2E21B">
            <w:pPr>
              <w:spacing w:line="480" w:lineRule="atLeast"/>
              <w:rPr>
                <w:rFonts w:hint="eastAsia" w:ascii="宋体" w:hAnsi="宋体"/>
                <w:bCs/>
                <w:iCs/>
                <w:sz w:val="24"/>
                <w:szCs w:val="24"/>
              </w:rPr>
            </w:pPr>
          </w:p>
          <w:p w14:paraId="393C02D9">
            <w:pPr>
              <w:spacing w:line="480" w:lineRule="atLeast"/>
              <w:rPr>
                <w:rFonts w:hint="eastAsia" w:ascii="宋体" w:hAnsi="宋体"/>
                <w:b/>
                <w:iCs/>
                <w:sz w:val="24"/>
                <w:szCs w:val="24"/>
              </w:rPr>
            </w:pPr>
            <w:r>
              <w:rPr>
                <w:rFonts w:hint="eastAsia" w:ascii="宋体" w:hAnsi="宋体"/>
                <w:b/>
                <w:iCs/>
                <w:sz w:val="24"/>
                <w:szCs w:val="24"/>
              </w:rPr>
              <w:t>二、互动交流</w:t>
            </w:r>
          </w:p>
          <w:p w14:paraId="1249456F">
            <w:pPr>
              <w:spacing w:line="480" w:lineRule="atLeast"/>
              <w:rPr>
                <w:rFonts w:hint="eastAsia" w:ascii="宋体" w:hAnsi="宋体" w:eastAsia="宋体" w:cs="Times New Roman"/>
                <w:b/>
                <w:bCs w:val="0"/>
                <w:iCs/>
                <w:sz w:val="24"/>
                <w:szCs w:val="24"/>
              </w:rPr>
            </w:pPr>
            <w:r>
              <w:rPr>
                <w:rFonts w:hint="eastAsia" w:ascii="宋体" w:hAnsi="宋体"/>
                <w:b/>
                <w:iCs/>
                <w:sz w:val="24"/>
                <w:szCs w:val="24"/>
              </w:rPr>
              <w:t>1.</w:t>
            </w:r>
            <w:r>
              <w:rPr>
                <w:rFonts w:hint="eastAsia"/>
              </w:rPr>
              <w:t xml:space="preserve"> </w:t>
            </w:r>
            <w:r>
              <w:rPr>
                <w:rFonts w:hint="eastAsia" w:ascii="宋体" w:hAnsi="宋体" w:eastAsia="宋体" w:cs="Times New Roman"/>
                <w:b/>
                <w:bCs w:val="0"/>
                <w:iCs/>
                <w:sz w:val="24"/>
                <w:szCs w:val="24"/>
              </w:rPr>
              <w:t>我们关注到公司近年来业务快速发展，核心团队的稳定性与积极性至关重要。想请问公司管理层，</w:t>
            </w:r>
            <w:r>
              <w:rPr>
                <w:rFonts w:hint="eastAsia" w:ascii="宋体" w:hAnsi="宋体" w:eastAsia="宋体" w:cs="Times New Roman"/>
                <w:b/>
                <w:bCs w:val="0"/>
                <w:iCs/>
                <w:sz w:val="24"/>
                <w:szCs w:val="24"/>
                <w:lang w:val="en-US" w:eastAsia="zh-CN"/>
              </w:rPr>
              <w:t>2025年</w:t>
            </w:r>
            <w:r>
              <w:rPr>
                <w:rFonts w:hint="eastAsia" w:ascii="宋体" w:hAnsi="宋体" w:eastAsia="宋体" w:cs="Times New Roman"/>
                <w:b/>
                <w:bCs w:val="0"/>
                <w:iCs/>
                <w:sz w:val="24"/>
                <w:szCs w:val="24"/>
              </w:rPr>
              <w:t>是否会有新的股权激励计划，以进一步绑定核心人才利益，共享公司发展成果？</w:t>
            </w:r>
          </w:p>
          <w:p w14:paraId="00104C34">
            <w:pPr>
              <w:spacing w:line="480" w:lineRule="atLeast"/>
              <w:rPr>
                <w:rFonts w:hint="eastAsia" w:ascii="宋体" w:hAnsi="宋体"/>
                <w:b/>
                <w:iCs/>
                <w:sz w:val="24"/>
                <w:szCs w:val="24"/>
              </w:rPr>
            </w:pPr>
          </w:p>
          <w:p w14:paraId="0EC298B0">
            <w:pPr>
              <w:spacing w:line="480" w:lineRule="atLeast"/>
              <w:ind w:firstLine="480"/>
              <w:rPr>
                <w:rFonts w:hint="eastAsia" w:ascii="宋体" w:hAnsi="宋体"/>
                <w:bCs/>
                <w:iCs/>
                <w:sz w:val="24"/>
                <w:szCs w:val="24"/>
              </w:rPr>
            </w:pPr>
            <w:r>
              <w:rPr>
                <w:rFonts w:hint="eastAsia" w:ascii="宋体" w:hAnsi="宋体" w:eastAsia="宋体" w:cs="Times New Roman"/>
                <w:bCs/>
                <w:iCs/>
                <w:sz w:val="24"/>
                <w:szCs w:val="24"/>
              </w:rPr>
              <w:t>感谢您对公司人才激励机制的重点关注。建立并完善长期、有效的激励与约束机制，是公司实现可持续发展战略的重要组成部分</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lang w:val="en-US" w:eastAsia="zh-CN"/>
              </w:rPr>
              <w:t>在上市之前，公司领导层便通过员工持股平台给予一些核心的技术及管理人员丰厚的激励。在未来的发展规划之中，无论是数智物流上的长久战略规划布局，还是在吸引核心研发人才方面，</w:t>
            </w:r>
            <w:r>
              <w:rPr>
                <w:rFonts w:hint="eastAsia" w:ascii="宋体" w:hAnsi="宋体" w:eastAsia="宋体" w:cs="Times New Roman"/>
                <w:bCs/>
                <w:iCs/>
                <w:sz w:val="24"/>
                <w:szCs w:val="24"/>
              </w:rPr>
              <w:t>董事会及管理层已就建立健全长效激励机制的必要性达成共识，并已启动相关的前期研究与论证工作。股权激励计划的具体方案，包括但不限于激励对象、授予条件、行权安排及业绩考核指标等核心要素，均需经过公司董事会、股东会的审议批准后方可实施。公司将会严格按照《上市规则》及《公司章程》等规定，履行相应的决策程序和信息披露义务。请以公司在上海证券交易所网站及指定媒体上发布的公告为准。</w:t>
            </w:r>
          </w:p>
          <w:p w14:paraId="4D7708EA">
            <w:pPr>
              <w:numPr>
                <w:ilvl w:val="0"/>
                <w:numId w:val="0"/>
              </w:numPr>
              <w:spacing w:line="480" w:lineRule="atLeast"/>
              <w:rPr>
                <w:rFonts w:hint="eastAsia" w:ascii="宋体" w:hAnsi="宋体" w:cs="Times New Roman"/>
                <w:b/>
                <w:bCs w:val="0"/>
                <w:iCs/>
                <w:kern w:val="2"/>
                <w:sz w:val="24"/>
                <w:szCs w:val="24"/>
                <w:lang w:val="en-US" w:eastAsia="zh-CN" w:bidi="ar-SA"/>
              </w:rPr>
            </w:pPr>
          </w:p>
          <w:p w14:paraId="186D516F">
            <w:pPr>
              <w:numPr>
                <w:ilvl w:val="0"/>
                <w:numId w:val="0"/>
              </w:numPr>
              <w:spacing w:line="480" w:lineRule="atLeast"/>
              <w:rPr>
                <w:rFonts w:hint="eastAsia" w:ascii="宋体" w:hAnsi="宋体" w:eastAsia="宋体" w:cs="Times New Roman"/>
                <w:b/>
                <w:bCs w:val="0"/>
                <w:iCs/>
                <w:kern w:val="2"/>
                <w:sz w:val="24"/>
                <w:szCs w:val="24"/>
                <w:lang w:val="en-US" w:eastAsia="zh-CN" w:bidi="ar-SA"/>
              </w:rPr>
            </w:pPr>
            <w:r>
              <w:rPr>
                <w:rFonts w:hint="eastAsia" w:ascii="宋体" w:hAnsi="宋体" w:cs="Times New Roman"/>
                <w:b/>
                <w:bCs w:val="0"/>
                <w:iCs/>
                <w:kern w:val="2"/>
                <w:sz w:val="24"/>
                <w:szCs w:val="24"/>
                <w:lang w:val="en-US" w:eastAsia="zh-CN" w:bidi="ar-SA"/>
              </w:rPr>
              <w:t>2</w:t>
            </w:r>
            <w:r>
              <w:rPr>
                <w:rFonts w:hint="eastAsia" w:ascii="宋体" w:hAnsi="宋体" w:eastAsia="宋体" w:cs="Times New Roman"/>
                <w:b/>
                <w:bCs w:val="0"/>
                <w:iCs/>
                <w:kern w:val="2"/>
                <w:sz w:val="24"/>
                <w:szCs w:val="24"/>
                <w:lang w:val="en-US" w:eastAsia="zh-CN" w:bidi="ar-SA"/>
              </w:rPr>
              <w:t>、</w:t>
            </w:r>
            <w:r>
              <w:rPr>
                <w:rFonts w:hint="eastAsia" w:ascii="宋体" w:hAnsi="宋体" w:eastAsia="宋体" w:cs="Times New Roman"/>
                <w:b/>
                <w:bCs w:val="0"/>
                <w:iCs/>
                <w:sz w:val="24"/>
                <w:szCs w:val="24"/>
                <w:lang w:val="en-US" w:eastAsia="zh-CN"/>
              </w:rPr>
              <w:t>我们关注到公司的营业收入之中海外占比是较高的，那么您对明年海外市场的变动是否有一个大致的判断呢？</w:t>
            </w:r>
          </w:p>
          <w:p w14:paraId="75CC699C">
            <w:pPr>
              <w:numPr>
                <w:ilvl w:val="0"/>
                <w:numId w:val="0"/>
              </w:numPr>
              <w:spacing w:line="480" w:lineRule="atLeast"/>
              <w:ind w:firstLine="480" w:firstLineChars="200"/>
              <w:rPr>
                <w:rFonts w:hint="default" w:ascii="宋体" w:hAnsi="宋体" w:eastAsia="宋体" w:cs="Times New Roman"/>
                <w:bCs/>
                <w:iCs/>
                <w:kern w:val="2"/>
                <w:sz w:val="24"/>
                <w:szCs w:val="24"/>
                <w:lang w:val="en-US" w:eastAsia="zh-CN" w:bidi="ar-SA"/>
              </w:rPr>
            </w:pPr>
            <w:r>
              <w:rPr>
                <w:rFonts w:hint="default" w:ascii="宋体" w:hAnsi="宋体" w:eastAsia="宋体" w:cs="Times New Roman"/>
                <w:bCs/>
                <w:iCs/>
                <w:kern w:val="2"/>
                <w:sz w:val="24"/>
                <w:szCs w:val="24"/>
                <w:lang w:val="en-US" w:eastAsia="zh-CN" w:bidi="ar-SA"/>
              </w:rPr>
              <w:t>感谢您对海外业务这一公司业绩压舱石的高度关注。总体上，</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对明年海外市场的持续增长保持积极乐观的态度。这种信心并非空泛的预期，而是源于公司在过去几年中已经得到验证的、独特的竞争优势。</w:t>
            </w:r>
          </w:p>
          <w:p w14:paraId="6AC12B90">
            <w:pPr>
              <w:numPr>
                <w:ilvl w:val="0"/>
                <w:numId w:val="0"/>
              </w:numPr>
              <w:spacing w:line="480" w:lineRule="atLeast"/>
              <w:ind w:firstLine="480" w:firstLineChars="200"/>
              <w:rPr>
                <w:rFonts w:hint="default" w:ascii="宋体" w:hAnsi="宋体" w:eastAsia="宋体" w:cs="Times New Roman"/>
                <w:bCs/>
                <w:iCs/>
                <w:kern w:val="2"/>
                <w:sz w:val="24"/>
                <w:szCs w:val="24"/>
                <w:lang w:val="en-US" w:eastAsia="zh-CN" w:bidi="ar-SA"/>
              </w:rPr>
            </w:pPr>
            <w:r>
              <w:rPr>
                <w:rFonts w:hint="default" w:ascii="宋体" w:hAnsi="宋体" w:eastAsia="宋体" w:cs="Times New Roman"/>
                <w:bCs/>
                <w:iCs/>
                <w:kern w:val="2"/>
                <w:sz w:val="24"/>
                <w:szCs w:val="24"/>
                <w:lang w:val="en-US" w:eastAsia="zh-CN" w:bidi="ar-SA"/>
              </w:rPr>
              <w:t>以美国市场为例，与许多同行业公司不同，在近年的国际贸易环境和关税调整中，</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不仅未受负面冲击，反而成为了受益的一方</w:t>
            </w:r>
            <w:r>
              <w:rPr>
                <w:rFonts w:hint="eastAsia" w:ascii="宋体" w:hAnsi="宋体" w:eastAsia="宋体" w:cs="Times New Roman"/>
                <w:bCs/>
                <w:iCs/>
                <w:kern w:val="2"/>
                <w:sz w:val="24"/>
                <w:szCs w:val="24"/>
                <w:lang w:val="en-US" w:eastAsia="zh-CN" w:bidi="ar-SA"/>
              </w:rPr>
              <w:t>。得力于</w:t>
            </w:r>
            <w:r>
              <w:rPr>
                <w:rFonts w:hint="eastAsia" w:ascii="宋体" w:hAnsi="宋体" w:cs="Times New Roman"/>
                <w:bCs/>
                <w:iCs/>
                <w:kern w:val="2"/>
                <w:sz w:val="24"/>
                <w:szCs w:val="24"/>
                <w:lang w:val="en-US" w:eastAsia="zh-CN" w:bidi="ar-SA"/>
              </w:rPr>
              <w:t>20</w:t>
            </w:r>
            <w:r>
              <w:rPr>
                <w:rFonts w:hint="eastAsia" w:ascii="宋体" w:hAnsi="宋体" w:eastAsia="宋体" w:cs="Times New Roman"/>
                <w:bCs/>
                <w:iCs/>
                <w:kern w:val="2"/>
                <w:sz w:val="24"/>
                <w:szCs w:val="24"/>
                <w:lang w:val="en-US" w:eastAsia="zh-CN" w:bidi="ar-SA"/>
              </w:rPr>
              <w:t>09年收购美国本土叉车品牌BIGJOE并</w:t>
            </w:r>
            <w:r>
              <w:rPr>
                <w:rFonts w:hint="default" w:ascii="宋体" w:hAnsi="宋体" w:eastAsia="宋体" w:cs="Times New Roman"/>
                <w:bCs/>
                <w:iCs/>
                <w:kern w:val="2"/>
                <w:sz w:val="24"/>
                <w:szCs w:val="24"/>
                <w:lang w:val="en-US" w:eastAsia="zh-CN" w:bidi="ar-SA"/>
              </w:rPr>
              <w:t>经过多年的深耕，</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已在美国市场建立了深厚的品牌认知和稳定的销售服务网络。当竞争对手因关税问题而被迫提价或供应不稳时，</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能够保证稳定供应并维持有竞争力的价格，这使</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成为美国客户更可靠、更具吸引力的合作伙伴。</w:t>
            </w:r>
          </w:p>
          <w:p w14:paraId="08CA7DAC">
            <w:pPr>
              <w:numPr>
                <w:ilvl w:val="0"/>
                <w:numId w:val="0"/>
              </w:numPr>
              <w:spacing w:line="480" w:lineRule="atLeast"/>
              <w:ind w:firstLine="480" w:firstLineChars="200"/>
              <w:rPr>
                <w:rFonts w:hint="default" w:ascii="宋体" w:hAnsi="宋体" w:eastAsia="宋体" w:cs="Times New Roman"/>
                <w:bCs/>
                <w:iCs/>
                <w:kern w:val="2"/>
                <w:sz w:val="24"/>
                <w:szCs w:val="24"/>
                <w:lang w:val="en-US" w:eastAsia="zh-CN" w:bidi="ar-SA"/>
              </w:rPr>
            </w:pP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将利用这一窗口期，进一步加大在美国市场的品牌投入和渠道下沉，从受益者向主导者深化，将暂时的优势转化为长期的市场地位。</w:t>
            </w:r>
            <w:r>
              <w:rPr>
                <w:rFonts w:hint="eastAsia" w:ascii="宋体" w:hAnsi="宋体" w:eastAsia="宋体" w:cs="Times New Roman"/>
                <w:bCs/>
                <w:iCs/>
                <w:kern w:val="2"/>
                <w:sz w:val="24"/>
                <w:szCs w:val="24"/>
                <w:lang w:val="en-US" w:eastAsia="zh-CN" w:bidi="ar-SA"/>
              </w:rPr>
              <w:t>公司也意识</w:t>
            </w:r>
            <w:r>
              <w:rPr>
                <w:rFonts w:hint="default" w:ascii="宋体" w:hAnsi="宋体" w:eastAsia="宋体" w:cs="Times New Roman"/>
                <w:bCs/>
                <w:iCs/>
                <w:kern w:val="2"/>
                <w:sz w:val="24"/>
                <w:szCs w:val="24"/>
                <w:lang w:val="en-US" w:eastAsia="zh-CN" w:bidi="ar-SA"/>
              </w:rPr>
              <w:t>到地缘政治和贸易政策本身是动态的</w:t>
            </w:r>
            <w:r>
              <w:rPr>
                <w:rFonts w:hint="eastAsia" w:ascii="宋体" w:hAnsi="宋体" w:cs="Times New Roman"/>
                <w:bCs/>
                <w:iCs/>
                <w:kern w:val="2"/>
                <w:sz w:val="24"/>
                <w:szCs w:val="24"/>
                <w:lang w:val="en-US" w:eastAsia="zh-CN" w:bidi="ar-SA"/>
              </w:rPr>
              <w:t>，</w:t>
            </w:r>
            <w:r>
              <w:rPr>
                <w:rFonts w:hint="default" w:ascii="宋体" w:hAnsi="宋体" w:eastAsia="宋体" w:cs="Times New Roman"/>
                <w:bCs/>
                <w:iCs/>
                <w:kern w:val="2"/>
                <w:sz w:val="24"/>
                <w:szCs w:val="24"/>
                <w:lang w:val="en-US" w:eastAsia="zh-CN" w:bidi="ar-SA"/>
              </w:rPr>
              <w:t>但灵活的全球供应链和坚实的品牌基础，已经证明了</w:t>
            </w:r>
            <w:r>
              <w:rPr>
                <w:rFonts w:hint="eastAsia" w:ascii="宋体" w:hAnsi="宋体" w:eastAsia="宋体" w:cs="Times New Roman"/>
                <w:bCs/>
                <w:iCs/>
                <w:kern w:val="2"/>
                <w:sz w:val="24"/>
                <w:szCs w:val="24"/>
                <w:lang w:val="en-US" w:eastAsia="zh-CN" w:bidi="ar-SA"/>
              </w:rPr>
              <w:t>公司</w:t>
            </w:r>
            <w:r>
              <w:rPr>
                <w:rFonts w:hint="eastAsia" w:ascii="宋体" w:hAnsi="宋体" w:cs="Times New Roman"/>
                <w:bCs/>
                <w:iCs/>
                <w:kern w:val="2"/>
                <w:sz w:val="24"/>
                <w:szCs w:val="24"/>
                <w:lang w:val="en-US" w:eastAsia="zh-CN" w:bidi="ar-SA"/>
              </w:rPr>
              <w:t>能以此</w:t>
            </w:r>
            <w:r>
              <w:rPr>
                <w:rFonts w:hint="default" w:ascii="宋体" w:hAnsi="宋体" w:eastAsia="宋体" w:cs="Times New Roman"/>
                <w:bCs/>
                <w:iCs/>
                <w:kern w:val="2"/>
                <w:sz w:val="24"/>
                <w:szCs w:val="24"/>
                <w:lang w:val="en-US" w:eastAsia="zh-CN" w:bidi="ar-SA"/>
              </w:rPr>
              <w:t>抵御风浪</w:t>
            </w:r>
            <w:r>
              <w:rPr>
                <w:rFonts w:hint="eastAsia" w:ascii="宋体" w:hAnsi="宋体" w:eastAsia="宋体" w:cs="Times New Roman"/>
                <w:bCs/>
                <w:iCs/>
                <w:kern w:val="2"/>
                <w:sz w:val="24"/>
                <w:szCs w:val="24"/>
                <w:lang w:val="en-US" w:eastAsia="zh-CN" w:bidi="ar-SA"/>
              </w:rPr>
              <w:t>，这也是</w:t>
            </w:r>
            <w:r>
              <w:rPr>
                <w:rFonts w:hint="default" w:ascii="宋体" w:hAnsi="宋体" w:eastAsia="宋体" w:cs="Times New Roman"/>
                <w:bCs/>
                <w:iCs/>
                <w:kern w:val="2"/>
                <w:sz w:val="24"/>
                <w:szCs w:val="24"/>
                <w:lang w:val="en-US" w:eastAsia="zh-CN" w:bidi="ar-SA"/>
              </w:rPr>
              <w:t>海外业务高占比背后的底气所在。</w:t>
            </w:r>
          </w:p>
          <w:p w14:paraId="10C51AF3">
            <w:pPr>
              <w:spacing w:line="480" w:lineRule="atLeast"/>
              <w:ind w:firstLine="489"/>
              <w:rPr>
                <w:rFonts w:hint="eastAsia" w:ascii="宋体" w:hAnsi="宋体"/>
                <w:bCs/>
                <w:iCs/>
                <w:sz w:val="24"/>
                <w:szCs w:val="24"/>
              </w:rPr>
            </w:pPr>
          </w:p>
          <w:p w14:paraId="05085515">
            <w:pPr>
              <w:numPr>
                <w:ilvl w:val="0"/>
                <w:numId w:val="0"/>
              </w:numPr>
              <w:spacing w:line="480" w:lineRule="atLeast"/>
              <w:rPr>
                <w:rFonts w:hint="eastAsia" w:ascii="宋体" w:hAnsi="宋体" w:eastAsia="宋体" w:cs="Times New Roman"/>
                <w:b/>
                <w:bCs w:val="0"/>
                <w:iCs/>
                <w:sz w:val="24"/>
                <w:szCs w:val="24"/>
                <w:lang w:val="en-US" w:eastAsia="zh-CN"/>
              </w:rPr>
            </w:pPr>
            <w:r>
              <w:rPr>
                <w:rFonts w:hint="eastAsia" w:ascii="宋体" w:hAnsi="宋体" w:eastAsia="宋体" w:cs="Times New Roman"/>
                <w:b/>
                <w:bCs w:val="0"/>
                <w:iCs/>
                <w:kern w:val="2"/>
                <w:sz w:val="24"/>
                <w:szCs w:val="24"/>
                <w:lang w:val="en-US" w:eastAsia="zh-CN" w:bidi="ar-SA"/>
              </w:rPr>
              <w:t>3、</w:t>
            </w:r>
            <w:r>
              <w:rPr>
                <w:rFonts w:hint="eastAsia" w:ascii="宋体" w:hAnsi="宋体" w:eastAsia="宋体" w:cs="Times New Roman"/>
                <w:b/>
                <w:bCs w:val="0"/>
                <w:iCs/>
                <w:sz w:val="24"/>
                <w:szCs w:val="24"/>
                <w:lang w:val="en-US" w:eastAsia="zh-CN"/>
              </w:rPr>
              <w:t>我们关注到其实</w:t>
            </w:r>
            <w:r>
              <w:rPr>
                <w:rFonts w:hint="eastAsia" w:ascii="宋体" w:hAnsi="宋体" w:eastAsia="宋体" w:cs="Times New Roman"/>
                <w:b/>
                <w:bCs w:val="0"/>
                <w:iCs/>
                <w:sz w:val="24"/>
                <w:szCs w:val="24"/>
              </w:rPr>
              <w:t>公司</w:t>
            </w:r>
            <w:r>
              <w:rPr>
                <w:rFonts w:hint="eastAsia" w:ascii="宋体" w:hAnsi="宋体" w:eastAsia="宋体" w:cs="Times New Roman"/>
                <w:b/>
                <w:bCs w:val="0"/>
                <w:iCs/>
                <w:sz w:val="24"/>
                <w:szCs w:val="24"/>
                <w:lang w:val="en-US" w:eastAsia="zh-CN"/>
              </w:rPr>
              <w:t>的</w:t>
            </w:r>
            <w:r>
              <w:rPr>
                <w:rFonts w:hint="eastAsia" w:ascii="宋体" w:hAnsi="宋体" w:eastAsia="宋体" w:cs="Times New Roman"/>
                <w:b/>
                <w:bCs w:val="0"/>
                <w:iCs/>
                <w:sz w:val="24"/>
                <w:szCs w:val="24"/>
              </w:rPr>
              <w:t>海外销售收入增长</w:t>
            </w:r>
            <w:r>
              <w:rPr>
                <w:rFonts w:hint="eastAsia" w:ascii="宋体" w:hAnsi="宋体" w:eastAsia="宋体" w:cs="Times New Roman"/>
                <w:b/>
                <w:bCs w:val="0"/>
                <w:iCs/>
                <w:sz w:val="24"/>
                <w:szCs w:val="24"/>
                <w:lang w:val="en-US" w:eastAsia="zh-CN"/>
              </w:rPr>
              <w:t>迅猛</w:t>
            </w:r>
            <w:r>
              <w:rPr>
                <w:rFonts w:hint="eastAsia" w:ascii="宋体" w:hAnsi="宋体" w:eastAsia="宋体" w:cs="Times New Roman"/>
                <w:b/>
                <w:bCs w:val="0"/>
                <w:iCs/>
                <w:sz w:val="24"/>
                <w:szCs w:val="24"/>
              </w:rPr>
              <w:t>，外销占比</w:t>
            </w:r>
            <w:r>
              <w:rPr>
                <w:rFonts w:hint="eastAsia" w:ascii="宋体" w:hAnsi="宋体" w:eastAsia="宋体" w:cs="Times New Roman"/>
                <w:b/>
                <w:bCs w:val="0"/>
                <w:iCs/>
                <w:sz w:val="24"/>
                <w:szCs w:val="24"/>
                <w:lang w:val="en-US" w:eastAsia="zh-CN"/>
              </w:rPr>
              <w:t>也在不断</w:t>
            </w:r>
            <w:r>
              <w:rPr>
                <w:rFonts w:hint="eastAsia" w:ascii="宋体" w:hAnsi="宋体" w:eastAsia="宋体" w:cs="Times New Roman"/>
                <w:b/>
                <w:bCs w:val="0"/>
                <w:iCs/>
                <w:sz w:val="24"/>
                <w:szCs w:val="24"/>
              </w:rPr>
              <w:t>提高，</w:t>
            </w:r>
            <w:r>
              <w:rPr>
                <w:rFonts w:hint="eastAsia" w:ascii="宋体" w:hAnsi="宋体" w:eastAsia="宋体" w:cs="Times New Roman"/>
                <w:b/>
                <w:bCs w:val="0"/>
                <w:iCs/>
                <w:sz w:val="24"/>
                <w:szCs w:val="24"/>
                <w:lang w:val="en-US" w:eastAsia="zh-CN"/>
              </w:rPr>
              <w:t>刚刚您也提到欧洲的占比是比较大的，欧洲本身的电动化的起步较早，那么您对明年欧洲市场的销售情况是否有一个模糊的预测判断呢？</w:t>
            </w:r>
          </w:p>
          <w:p w14:paraId="25076FFF">
            <w:pPr>
              <w:pStyle w:val="7"/>
              <w:keepNext w:val="0"/>
              <w:keepLines w:val="0"/>
              <w:widowControl/>
              <w:suppressLineNumbers w:val="0"/>
              <w:shd w:val="clear" w:fill="FFFFFF"/>
              <w:spacing w:before="120" w:beforeAutospacing="0" w:after="120" w:afterAutospacing="0" w:line="360" w:lineRule="auto"/>
              <w:ind w:left="0" w:right="0" w:firstLine="480" w:firstLineChars="200"/>
              <w:rPr>
                <w:rFonts w:hint="eastAsia" w:ascii="宋体" w:hAnsi="宋体" w:eastAsia="宋体" w:cs="Times New Roman"/>
                <w:bCs/>
                <w:iCs/>
                <w:kern w:val="2"/>
                <w:sz w:val="24"/>
                <w:szCs w:val="24"/>
                <w:lang w:val="en-US" w:eastAsia="zh-CN" w:bidi="ar-SA"/>
              </w:rPr>
            </w:pPr>
            <w:r>
              <w:rPr>
                <w:rFonts w:hint="default" w:ascii="宋体" w:hAnsi="宋体" w:eastAsia="宋体" w:cs="Times New Roman"/>
                <w:bCs/>
                <w:iCs/>
                <w:kern w:val="2"/>
                <w:sz w:val="24"/>
                <w:szCs w:val="24"/>
                <w:lang w:val="en-US" w:eastAsia="zh-CN" w:bidi="ar-SA"/>
              </w:rPr>
              <w:t>感谢您对公司海外业务，特别是欧洲市场的深入观察。欧洲市场作为公司外销的重要支柱，其电动化进程为</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带来了显著的先发优势。对于明年欧洲市场的展望，</w:t>
            </w:r>
            <w:r>
              <w:rPr>
                <w:rFonts w:hint="eastAsia" w:ascii="宋体" w:hAnsi="宋体" w:eastAsia="宋体" w:cs="Times New Roman"/>
                <w:bCs/>
                <w:iCs/>
                <w:kern w:val="2"/>
                <w:sz w:val="24"/>
                <w:szCs w:val="24"/>
                <w:lang w:val="en-US" w:eastAsia="zh-CN" w:bidi="ar-SA"/>
              </w:rPr>
              <w:t>公司的</w:t>
            </w:r>
            <w:r>
              <w:rPr>
                <w:rFonts w:hint="default" w:ascii="宋体" w:hAnsi="宋体" w:eastAsia="宋体" w:cs="Times New Roman"/>
                <w:bCs/>
                <w:iCs/>
                <w:kern w:val="2"/>
                <w:sz w:val="24"/>
                <w:szCs w:val="24"/>
                <w:lang w:val="en-US" w:eastAsia="zh-CN" w:bidi="ar-SA"/>
              </w:rPr>
              <w:t>判断是基于当前情况的动态评估，主要围绕以下几个核心维度：</w:t>
            </w:r>
          </w:p>
          <w:p w14:paraId="0FE4976C">
            <w:pPr>
              <w:pStyle w:val="7"/>
              <w:keepNext w:val="0"/>
              <w:keepLines w:val="0"/>
              <w:widowControl/>
              <w:suppressLineNumbers w:val="0"/>
              <w:spacing w:before="0" w:beforeAutospacing="0" w:after="0" w:afterAutospacing="0" w:line="360" w:lineRule="auto"/>
              <w:ind w:left="0" w:right="0"/>
              <w:rPr>
                <w:rFonts w:hint="eastAsia" w:ascii="宋体" w:hAnsi="宋体" w:eastAsia="宋体" w:cs="Times New Roman"/>
                <w:bCs/>
                <w:iCs/>
                <w:kern w:val="2"/>
                <w:sz w:val="24"/>
                <w:szCs w:val="24"/>
                <w:lang w:val="en-US" w:eastAsia="zh-CN" w:bidi="ar-SA"/>
              </w:rPr>
            </w:pPr>
            <w:r>
              <w:rPr>
                <w:rFonts w:hint="eastAsia" w:ascii="宋体" w:hAnsi="宋体" w:cs="Times New Roman"/>
                <w:bCs/>
                <w:iCs/>
                <w:kern w:val="2"/>
                <w:sz w:val="24"/>
                <w:szCs w:val="24"/>
                <w:lang w:val="en-US" w:eastAsia="zh-CN" w:bidi="ar-SA"/>
              </w:rPr>
              <w:t>（1）</w:t>
            </w:r>
            <w:r>
              <w:rPr>
                <w:rFonts w:hint="default" w:ascii="宋体" w:hAnsi="宋体" w:eastAsia="宋体" w:cs="Times New Roman"/>
                <w:bCs/>
                <w:iCs/>
                <w:kern w:val="2"/>
                <w:sz w:val="24"/>
                <w:szCs w:val="24"/>
                <w:lang w:val="en-US" w:eastAsia="zh-CN" w:bidi="ar-SA"/>
              </w:rPr>
              <w:t>基本盘稳固性与增长惯性：基于欧洲市场既有的绿色物流政策、旺盛的终端需求以及公司已建立的品牌与渠道优势，</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对明年欧洲业务的基本盘保持审慎乐观。预计现有的增长势头有望得以延续。</w:t>
            </w:r>
          </w:p>
          <w:p w14:paraId="644C7FFC">
            <w:pPr>
              <w:pStyle w:val="7"/>
              <w:keepNext w:val="0"/>
              <w:keepLines w:val="0"/>
              <w:widowControl/>
              <w:suppressLineNumbers w:val="0"/>
              <w:spacing w:before="0" w:beforeAutospacing="0" w:after="60" w:afterAutospacing="0" w:line="360" w:lineRule="auto"/>
              <w:ind w:left="0" w:right="0"/>
              <w:rPr>
                <w:rFonts w:hint="eastAsia" w:ascii="宋体" w:hAnsi="宋体" w:eastAsia="宋体" w:cs="Times New Roman"/>
                <w:bCs/>
                <w:iCs/>
                <w:kern w:val="2"/>
                <w:sz w:val="24"/>
                <w:szCs w:val="24"/>
                <w:lang w:val="en-US" w:eastAsia="zh-CN" w:bidi="ar-SA"/>
              </w:rPr>
            </w:pPr>
            <w:r>
              <w:rPr>
                <w:rFonts w:hint="eastAsia" w:ascii="宋体" w:hAnsi="宋体" w:cs="Times New Roman"/>
                <w:bCs/>
                <w:iCs/>
                <w:kern w:val="2"/>
                <w:sz w:val="24"/>
                <w:szCs w:val="24"/>
                <w:lang w:val="en-US" w:eastAsia="zh-CN" w:bidi="ar-SA"/>
              </w:rPr>
              <w:t>（2）</w:t>
            </w:r>
            <w:r>
              <w:rPr>
                <w:rFonts w:hint="default" w:ascii="宋体" w:hAnsi="宋体" w:eastAsia="宋体" w:cs="Times New Roman"/>
                <w:bCs/>
                <w:iCs/>
                <w:kern w:val="2"/>
                <w:sz w:val="24"/>
                <w:szCs w:val="24"/>
                <w:lang w:val="en-US" w:eastAsia="zh-CN" w:bidi="ar-SA"/>
              </w:rPr>
              <w:t>关键变量——地缘政治因素的影响：在乐观的基调之外，</w:t>
            </w:r>
            <w:r>
              <w:rPr>
                <w:rFonts w:hint="eastAsia" w:ascii="宋体" w:hAnsi="宋体" w:eastAsia="宋体" w:cs="Times New Roman"/>
                <w:bCs/>
                <w:iCs/>
                <w:kern w:val="2"/>
                <w:sz w:val="24"/>
                <w:szCs w:val="24"/>
                <w:lang w:val="en-US" w:eastAsia="zh-CN" w:bidi="ar-SA"/>
              </w:rPr>
              <w:t>公司也在关注</w:t>
            </w:r>
            <w:r>
              <w:rPr>
                <w:rFonts w:hint="default" w:ascii="宋体" w:hAnsi="宋体" w:eastAsia="宋体" w:cs="Times New Roman"/>
                <w:bCs/>
                <w:iCs/>
                <w:kern w:val="2"/>
                <w:sz w:val="24"/>
                <w:szCs w:val="24"/>
                <w:lang w:val="en-US" w:eastAsia="zh-CN" w:bidi="ar-SA"/>
              </w:rPr>
              <w:t>一个最大的不确定性来源</w:t>
            </w:r>
            <w:r>
              <w:rPr>
                <w:rFonts w:hint="eastAsia" w:ascii="宋体" w:hAnsi="宋体" w:eastAsia="宋体" w:cs="Times New Roman"/>
                <w:bCs/>
                <w:iCs/>
                <w:kern w:val="2"/>
                <w:sz w:val="24"/>
                <w:szCs w:val="24"/>
                <w:lang w:val="en-US" w:eastAsia="zh-CN" w:bidi="ar-SA"/>
              </w:rPr>
              <w:t>：</w:t>
            </w:r>
            <w:r>
              <w:rPr>
                <w:rFonts w:hint="default" w:ascii="宋体" w:hAnsi="宋体" w:eastAsia="宋体" w:cs="Times New Roman"/>
                <w:bCs/>
                <w:iCs/>
                <w:kern w:val="2"/>
                <w:sz w:val="24"/>
                <w:szCs w:val="24"/>
                <w:lang w:val="en-US" w:eastAsia="zh-CN" w:bidi="ar-SA"/>
              </w:rPr>
              <w:t>俄乌战争局势及其衍生影响。这一因素对</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的影响路径是双向且复杂的：</w:t>
            </w:r>
          </w:p>
          <w:p w14:paraId="5F9B5B3A">
            <w:pPr>
              <w:pStyle w:val="7"/>
              <w:keepNext w:val="0"/>
              <w:keepLines w:val="0"/>
              <w:widowControl/>
              <w:suppressLineNumbers w:val="0"/>
              <w:spacing w:before="0" w:beforeAutospacing="0" w:after="0" w:afterAutospacing="0" w:line="360" w:lineRule="auto"/>
              <w:ind w:left="0" w:right="0"/>
              <w:rPr>
                <w:rFonts w:hint="eastAsia" w:ascii="宋体" w:hAnsi="宋体" w:eastAsia="宋体" w:cs="Times New Roman"/>
                <w:bCs/>
                <w:iCs/>
                <w:kern w:val="2"/>
                <w:sz w:val="24"/>
                <w:szCs w:val="24"/>
                <w:lang w:val="en-US" w:eastAsia="zh-CN" w:bidi="ar-SA"/>
              </w:rPr>
            </w:pPr>
            <w:r>
              <w:rPr>
                <w:rFonts w:hint="eastAsia" w:ascii="宋体" w:hAnsi="宋体" w:eastAsia="宋体" w:cs="Times New Roman"/>
                <w:bCs/>
                <w:iCs/>
                <w:kern w:val="2"/>
                <w:sz w:val="24"/>
                <w:szCs w:val="24"/>
                <w:lang w:val="en-US" w:eastAsia="zh-CN" w:bidi="ar-SA"/>
              </w:rPr>
              <w:t>①</w:t>
            </w:r>
            <w:r>
              <w:rPr>
                <w:rFonts w:hint="default" w:ascii="宋体" w:hAnsi="宋体" w:eastAsia="宋体" w:cs="Times New Roman"/>
                <w:bCs/>
                <w:iCs/>
                <w:kern w:val="2"/>
                <w:sz w:val="24"/>
                <w:szCs w:val="24"/>
                <w:lang w:val="en-US" w:eastAsia="zh-CN" w:bidi="ar-SA"/>
              </w:rPr>
              <w:t>风险规避与当前策略：由于公司的美国业务占比</w:t>
            </w:r>
            <w:r>
              <w:rPr>
                <w:rFonts w:hint="eastAsia" w:ascii="宋体" w:hAnsi="宋体" w:cs="Times New Roman"/>
                <w:bCs/>
                <w:iCs/>
                <w:kern w:val="2"/>
                <w:sz w:val="24"/>
                <w:szCs w:val="24"/>
                <w:lang w:val="en-US" w:eastAsia="zh-CN" w:bidi="ar-SA"/>
              </w:rPr>
              <w:t>正不断提升</w:t>
            </w:r>
            <w:r>
              <w:rPr>
                <w:rFonts w:hint="default" w:ascii="宋体" w:hAnsi="宋体" w:eastAsia="宋体" w:cs="Times New Roman"/>
                <w:bCs/>
                <w:iCs/>
                <w:kern w:val="2"/>
                <w:sz w:val="24"/>
                <w:szCs w:val="24"/>
                <w:lang w:val="en-US" w:eastAsia="zh-CN" w:bidi="ar-SA"/>
              </w:rPr>
              <w:t>，</w:t>
            </w:r>
            <w:r>
              <w:rPr>
                <w:rFonts w:hint="eastAsia" w:ascii="宋体" w:hAnsi="宋体" w:eastAsia="宋体" w:cs="Times New Roman"/>
                <w:bCs/>
                <w:iCs/>
                <w:kern w:val="2"/>
                <w:sz w:val="24"/>
                <w:szCs w:val="24"/>
                <w:lang w:val="en-US" w:eastAsia="zh-CN" w:bidi="ar-SA"/>
              </w:rPr>
              <w:t>因此</w:t>
            </w:r>
            <w:r>
              <w:rPr>
                <w:rFonts w:hint="default" w:ascii="宋体" w:hAnsi="宋体" w:eastAsia="宋体" w:cs="Times New Roman"/>
                <w:bCs/>
                <w:iCs/>
                <w:kern w:val="2"/>
                <w:sz w:val="24"/>
                <w:szCs w:val="24"/>
                <w:lang w:val="en-US" w:eastAsia="zh-CN" w:bidi="ar-SA"/>
              </w:rPr>
              <w:t>必须高度关注并严格遵守相关的国际贸易法规与制裁条款。公司目前对俄罗斯及相关高风险区域市场持非常谨慎的态度，并主动规避了相关业务，以确保全球业务不受到任何潜在的连带风险或反制措施影响。这是公司全球战略安全的首要考量。</w:t>
            </w:r>
          </w:p>
          <w:p w14:paraId="52E6A705">
            <w:pPr>
              <w:pStyle w:val="7"/>
              <w:keepNext w:val="0"/>
              <w:keepLines w:val="0"/>
              <w:widowControl/>
              <w:suppressLineNumbers w:val="0"/>
              <w:spacing w:before="0" w:beforeAutospacing="0" w:after="0" w:afterAutospacing="0" w:line="360" w:lineRule="auto"/>
              <w:ind w:left="0" w:right="0"/>
              <w:rPr>
                <w:rFonts w:hint="default" w:ascii="宋体" w:hAnsi="宋体" w:eastAsia="宋体" w:cs="Times New Roman"/>
                <w:bCs/>
                <w:iCs/>
                <w:kern w:val="2"/>
                <w:sz w:val="24"/>
                <w:szCs w:val="24"/>
                <w:lang w:val="en-US" w:eastAsia="zh-CN" w:bidi="ar-SA"/>
              </w:rPr>
            </w:pPr>
            <w:r>
              <w:rPr>
                <w:rFonts w:hint="eastAsia" w:ascii="宋体" w:hAnsi="宋体" w:eastAsia="宋体" w:cs="Times New Roman"/>
                <w:bCs/>
                <w:iCs/>
                <w:kern w:val="2"/>
                <w:sz w:val="24"/>
                <w:szCs w:val="24"/>
                <w:lang w:val="en-US" w:eastAsia="zh-CN" w:bidi="ar-SA"/>
              </w:rPr>
              <w:t>②</w:t>
            </w:r>
            <w:r>
              <w:rPr>
                <w:rFonts w:hint="default" w:ascii="宋体" w:hAnsi="宋体" w:eastAsia="宋体" w:cs="Times New Roman"/>
                <w:bCs/>
                <w:iCs/>
                <w:kern w:val="2"/>
                <w:sz w:val="24"/>
                <w:szCs w:val="24"/>
                <w:lang w:val="en-US" w:eastAsia="zh-CN" w:bidi="ar-SA"/>
              </w:rPr>
              <w:t>潜在机遇与未来可能：另一方面，从长期视角观察到，冲突后的重建工作必然涉及大规模的基础设施建设和物流搬运需求，这将为</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的产品创造出潜在的、可观的增量市场。因此，战争局势的最终演变，将直接影响公司对该区域市场的后续决策和资源投放。</w:t>
            </w:r>
          </w:p>
          <w:p w14:paraId="3E0FC339">
            <w:pPr>
              <w:pStyle w:val="7"/>
              <w:keepNext w:val="0"/>
              <w:keepLines w:val="0"/>
              <w:widowControl/>
              <w:suppressLineNumbers w:val="0"/>
              <w:spacing w:before="0" w:beforeAutospacing="0" w:after="0" w:afterAutospacing="0" w:line="360" w:lineRule="auto"/>
              <w:ind w:left="0" w:right="0"/>
              <w:rPr>
                <w:rFonts w:hint="default" w:ascii="宋体" w:hAnsi="宋体" w:eastAsia="宋体" w:cs="Times New Roman"/>
                <w:bCs/>
                <w:iCs/>
                <w:kern w:val="2"/>
                <w:sz w:val="24"/>
                <w:szCs w:val="24"/>
                <w:lang w:val="en-US" w:eastAsia="zh-CN" w:bidi="ar-SA"/>
              </w:rPr>
            </w:pPr>
            <w:r>
              <w:rPr>
                <w:rFonts w:hint="eastAsia" w:ascii="宋体" w:hAnsi="宋体" w:eastAsia="宋体" w:cs="Times New Roman"/>
                <w:bCs/>
                <w:iCs/>
                <w:kern w:val="2"/>
                <w:sz w:val="24"/>
                <w:szCs w:val="24"/>
                <w:lang w:val="en-US" w:eastAsia="zh-CN" w:bidi="ar-SA"/>
              </w:rPr>
              <w:t>因此</w:t>
            </w:r>
            <w:r>
              <w:rPr>
                <w:rFonts w:hint="default" w:ascii="宋体" w:hAnsi="宋体" w:eastAsia="宋体" w:cs="Times New Roman"/>
                <w:bCs/>
                <w:iCs/>
                <w:kern w:val="2"/>
                <w:sz w:val="24"/>
                <w:szCs w:val="24"/>
                <w:lang w:val="en-US" w:eastAsia="zh-CN" w:bidi="ar-SA"/>
              </w:rPr>
              <w:t>综合来看，抛开突发性事件不谈，仅就现有市场趋势而言，</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对明年欧洲市场的销售前景抱有正向预期。然而，最终的增速水平将在很大程度上受到上述地缘政治局势演变的影响。</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会密切关注事态发展，并做出及时、灵活的策略调整。</w:t>
            </w:r>
            <w:r>
              <w:rPr>
                <w:rFonts w:hint="eastAsia" w:ascii="宋体" w:hAnsi="宋体" w:eastAsia="宋体" w:cs="Times New Roman"/>
                <w:bCs/>
                <w:iCs/>
                <w:kern w:val="2"/>
                <w:sz w:val="24"/>
                <w:szCs w:val="24"/>
                <w:lang w:val="en-US" w:eastAsia="zh-CN" w:bidi="ar-SA"/>
              </w:rPr>
              <w:t>当然</w:t>
            </w:r>
            <w:r>
              <w:rPr>
                <w:rFonts w:hint="default" w:ascii="宋体" w:hAnsi="宋体" w:eastAsia="宋体" w:cs="Times New Roman"/>
                <w:bCs/>
                <w:iCs/>
                <w:kern w:val="2"/>
                <w:sz w:val="24"/>
                <w:szCs w:val="24"/>
                <w:lang w:val="en-US" w:eastAsia="zh-CN" w:bidi="ar-SA"/>
              </w:rPr>
              <w:t>这仍是基于当前信息的初步判断，实际业绩请以公司后续发布的定期报告为准。</w:t>
            </w:r>
          </w:p>
          <w:p w14:paraId="03C0322D">
            <w:pPr>
              <w:spacing w:line="480" w:lineRule="atLeast"/>
              <w:ind w:firstLine="480" w:firstLineChars="200"/>
              <w:rPr>
                <w:rFonts w:hint="eastAsia" w:ascii="宋体" w:hAnsi="宋体"/>
                <w:bCs/>
                <w:iCs/>
                <w:sz w:val="24"/>
                <w:szCs w:val="24"/>
              </w:rPr>
            </w:pPr>
          </w:p>
          <w:p w14:paraId="2D7CE163">
            <w:pPr>
              <w:pStyle w:val="7"/>
              <w:keepNext w:val="0"/>
              <w:keepLines w:val="0"/>
              <w:widowControl/>
              <w:suppressLineNumbers w:val="0"/>
              <w:spacing w:before="0" w:beforeAutospacing="0" w:after="0" w:afterAutospacing="0" w:line="360" w:lineRule="auto"/>
              <w:ind w:left="0" w:right="0"/>
              <w:rPr>
                <w:rFonts w:hint="default" w:ascii="宋体" w:hAnsi="宋体" w:eastAsia="宋体" w:cs="Times New Roman"/>
                <w:b/>
                <w:bCs w:val="0"/>
                <w:iCs/>
                <w:kern w:val="2"/>
                <w:sz w:val="24"/>
                <w:szCs w:val="24"/>
                <w:lang w:val="en-US" w:eastAsia="zh-CN" w:bidi="ar-SA"/>
              </w:rPr>
            </w:pPr>
            <w:r>
              <w:rPr>
                <w:rFonts w:hint="eastAsia" w:ascii="宋体" w:hAnsi="宋体" w:eastAsia="宋体" w:cs="Times New Roman"/>
                <w:b/>
                <w:bCs w:val="0"/>
                <w:iCs/>
                <w:kern w:val="2"/>
                <w:sz w:val="24"/>
                <w:szCs w:val="24"/>
                <w:lang w:val="en-US" w:eastAsia="zh-CN" w:bidi="ar-SA"/>
              </w:rPr>
              <w:t>4、我们关注到，公司的产品主要是电动叉车，根据24年年报之中披露电动叉车包括电动平衡重乘驾式叉车（</w:t>
            </w:r>
            <w:r>
              <w:rPr>
                <w:rFonts w:hint="default" w:ascii="宋体" w:hAnsi="宋体" w:eastAsia="宋体" w:cs="Times New Roman"/>
                <w:b/>
                <w:bCs w:val="0"/>
                <w:iCs/>
                <w:kern w:val="2"/>
                <w:sz w:val="24"/>
                <w:szCs w:val="24"/>
                <w:lang w:val="en-US" w:eastAsia="zh-CN" w:bidi="ar-SA"/>
              </w:rPr>
              <w:t>Class I</w:t>
            </w:r>
            <w:r>
              <w:rPr>
                <w:rFonts w:hint="eastAsia" w:ascii="宋体" w:hAnsi="宋体" w:eastAsia="宋体" w:cs="Times New Roman"/>
                <w:b/>
                <w:bCs w:val="0"/>
                <w:iCs/>
                <w:kern w:val="2"/>
                <w:sz w:val="24"/>
                <w:szCs w:val="24"/>
                <w:lang w:val="en-US" w:eastAsia="zh-CN" w:bidi="ar-SA"/>
              </w:rPr>
              <w:t>）、电动乘驾式仓储叉车（</w:t>
            </w:r>
            <w:r>
              <w:rPr>
                <w:rFonts w:hint="default" w:ascii="宋体" w:hAnsi="宋体" w:eastAsia="宋体" w:cs="Times New Roman"/>
                <w:b/>
                <w:bCs w:val="0"/>
                <w:iCs/>
                <w:kern w:val="2"/>
                <w:sz w:val="24"/>
                <w:szCs w:val="24"/>
                <w:lang w:val="en-US" w:eastAsia="zh-CN" w:bidi="ar-SA"/>
              </w:rPr>
              <w:t>Class II</w:t>
            </w:r>
            <w:r>
              <w:rPr>
                <w:rFonts w:hint="eastAsia" w:ascii="宋体" w:hAnsi="宋体" w:eastAsia="宋体" w:cs="Times New Roman"/>
                <w:b/>
                <w:bCs w:val="0"/>
                <w:iCs/>
                <w:kern w:val="2"/>
                <w:sz w:val="24"/>
                <w:szCs w:val="24"/>
                <w:lang w:val="en-US" w:eastAsia="zh-CN" w:bidi="ar-SA"/>
              </w:rPr>
              <w:t>）和电动步行式仓储叉车（</w:t>
            </w:r>
            <w:r>
              <w:rPr>
                <w:rFonts w:hint="default" w:ascii="宋体" w:hAnsi="宋体" w:eastAsia="宋体" w:cs="Times New Roman"/>
                <w:b/>
                <w:bCs w:val="0"/>
                <w:iCs/>
                <w:kern w:val="2"/>
                <w:sz w:val="24"/>
                <w:szCs w:val="24"/>
                <w:lang w:val="en-US" w:eastAsia="zh-CN" w:bidi="ar-SA"/>
              </w:rPr>
              <w:t>Class III</w:t>
            </w:r>
            <w:r>
              <w:rPr>
                <w:rFonts w:hint="eastAsia" w:ascii="宋体" w:hAnsi="宋体" w:eastAsia="宋体" w:cs="Times New Roman"/>
                <w:b/>
                <w:bCs w:val="0"/>
                <w:iCs/>
                <w:kern w:val="2"/>
                <w:sz w:val="24"/>
                <w:szCs w:val="24"/>
                <w:lang w:val="en-US" w:eastAsia="zh-CN" w:bidi="ar-SA"/>
              </w:rPr>
              <w:t>）这三大类，那么您觉得这三大类哪一类的增速会更快呢？</w:t>
            </w:r>
          </w:p>
          <w:p w14:paraId="35848B97">
            <w:pPr>
              <w:pStyle w:val="7"/>
              <w:keepNext w:val="0"/>
              <w:keepLines w:val="0"/>
              <w:widowControl/>
              <w:suppressLineNumbers w:val="0"/>
              <w:spacing w:before="0" w:beforeAutospacing="0" w:after="0" w:afterAutospacing="0" w:line="360" w:lineRule="auto"/>
              <w:ind w:left="0" w:right="0" w:firstLine="480" w:firstLineChars="200"/>
              <w:rPr>
                <w:rFonts w:hint="default" w:ascii="宋体" w:hAnsi="宋体" w:eastAsia="宋体" w:cs="Times New Roman"/>
                <w:bCs/>
                <w:iCs/>
                <w:kern w:val="2"/>
                <w:sz w:val="24"/>
                <w:szCs w:val="24"/>
                <w:lang w:val="en-US" w:eastAsia="zh-CN" w:bidi="ar-SA"/>
              </w:rPr>
            </w:pPr>
            <w:r>
              <w:rPr>
                <w:rFonts w:hint="default" w:ascii="宋体" w:hAnsi="宋体" w:eastAsia="宋体" w:cs="Times New Roman"/>
                <w:bCs/>
                <w:iCs/>
                <w:kern w:val="2"/>
                <w:sz w:val="24"/>
                <w:szCs w:val="24"/>
                <w:lang w:val="en-US" w:eastAsia="zh-CN" w:bidi="ar-SA"/>
              </w:rPr>
              <w:t>感谢您对公司产品线的细致研究。关于Class I, II, III这三类电动叉车未来的增速判断</w:t>
            </w:r>
            <w:r>
              <w:rPr>
                <w:rFonts w:hint="eastAsia" w:ascii="宋体" w:hAnsi="宋体" w:cs="Times New Roman"/>
                <w:bCs/>
                <w:iCs/>
                <w:kern w:val="2"/>
                <w:sz w:val="24"/>
                <w:szCs w:val="24"/>
                <w:lang w:val="en-US" w:eastAsia="zh-CN" w:bidi="ar-SA"/>
              </w:rPr>
              <w:t>，</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对三大产品线的业务基础充满信心。</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认为电动平衡重乘驾式叉车（Class I）在未来具备最大的增长潜力和最快的增速预期。</w:t>
            </w:r>
          </w:p>
          <w:p w14:paraId="7ADBF75B">
            <w:pPr>
              <w:pStyle w:val="7"/>
              <w:keepNext w:val="0"/>
              <w:keepLines w:val="0"/>
              <w:widowControl/>
              <w:suppressLineNumbers w:val="0"/>
              <w:spacing w:before="0" w:beforeAutospacing="0" w:after="0" w:afterAutospacing="0" w:line="360" w:lineRule="auto"/>
              <w:ind w:left="0" w:right="0" w:firstLine="480" w:firstLineChars="200"/>
              <w:rPr>
                <w:rFonts w:hint="default" w:ascii="宋体" w:hAnsi="宋体" w:eastAsia="宋体" w:cs="Times New Roman"/>
                <w:bCs/>
                <w:iCs/>
                <w:kern w:val="2"/>
                <w:sz w:val="24"/>
                <w:szCs w:val="24"/>
                <w:lang w:val="en-US" w:eastAsia="zh-CN" w:bidi="ar-SA"/>
              </w:rPr>
            </w:pPr>
            <w:r>
              <w:rPr>
                <w:rFonts w:hint="default" w:ascii="宋体" w:hAnsi="宋体" w:eastAsia="宋体" w:cs="Times New Roman"/>
                <w:bCs/>
                <w:iCs/>
                <w:kern w:val="2"/>
                <w:sz w:val="24"/>
                <w:szCs w:val="24"/>
                <w:lang w:val="en-US" w:eastAsia="zh-CN" w:bidi="ar-SA"/>
              </w:rPr>
              <w:t>公司在</w:t>
            </w:r>
            <w:r>
              <w:rPr>
                <w:rFonts w:hint="eastAsia" w:ascii="宋体" w:hAnsi="宋体" w:eastAsia="宋体" w:cs="Times New Roman"/>
                <w:bCs/>
                <w:iCs/>
                <w:kern w:val="2"/>
                <w:sz w:val="24"/>
                <w:szCs w:val="24"/>
                <w:lang w:val="en-US" w:eastAsia="zh-CN" w:bidi="ar-SA"/>
              </w:rPr>
              <w:t>III类</w:t>
            </w:r>
            <w:r>
              <w:rPr>
                <w:rFonts w:hint="default" w:ascii="宋体" w:hAnsi="宋体" w:eastAsia="宋体" w:cs="Times New Roman"/>
                <w:bCs/>
                <w:iCs/>
                <w:kern w:val="2"/>
                <w:sz w:val="24"/>
                <w:szCs w:val="24"/>
                <w:lang w:val="en-US" w:eastAsia="zh-CN" w:bidi="ar-SA"/>
              </w:rPr>
              <w:t>叉车领域已经建立了显著的领先优势，市场占有率很高，品牌、渠道和产品力</w:t>
            </w:r>
            <w:r>
              <w:rPr>
                <w:rFonts w:hint="eastAsia" w:ascii="宋体" w:hAnsi="宋体" w:eastAsia="宋体" w:cs="Times New Roman"/>
                <w:bCs/>
                <w:iCs/>
                <w:kern w:val="2"/>
                <w:sz w:val="24"/>
                <w:szCs w:val="24"/>
                <w:lang w:val="en-US" w:eastAsia="zh-CN" w:bidi="ar-SA"/>
              </w:rPr>
              <w:t>都</w:t>
            </w:r>
            <w:r>
              <w:rPr>
                <w:rFonts w:hint="default" w:ascii="宋体" w:hAnsi="宋体" w:eastAsia="宋体" w:cs="Times New Roman"/>
                <w:bCs/>
                <w:iCs/>
                <w:kern w:val="2"/>
                <w:sz w:val="24"/>
                <w:szCs w:val="24"/>
                <w:lang w:val="en-US" w:eastAsia="zh-CN" w:bidi="ar-SA"/>
              </w:rPr>
              <w:t>得到了市场的充分验证。这个市场对</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而言是一片需要持续深耕和巩固的存量沃土，增长更为稳定和可预测。</w:t>
            </w:r>
            <w:r>
              <w:rPr>
                <w:rFonts w:hint="eastAsia" w:ascii="宋体" w:hAnsi="宋体" w:eastAsia="宋体" w:cs="Times New Roman"/>
                <w:bCs/>
                <w:iCs/>
                <w:kern w:val="2"/>
                <w:sz w:val="24"/>
                <w:szCs w:val="24"/>
                <w:lang w:val="en-US" w:eastAsia="zh-CN" w:bidi="ar-SA"/>
              </w:rPr>
              <w:t>而相比之下，I类叉车所面对的是一个更为广阔的、正在经历油改电浪潮的存量市场。目前这个市场的电动化渗透率仍有巨大提升空间。对于公司而言，这更像是一片充满机遇的</w:t>
            </w:r>
            <w:r>
              <w:rPr>
                <w:rFonts w:hint="default" w:ascii="宋体" w:hAnsi="宋体" w:eastAsia="宋体" w:cs="Times New Roman"/>
                <w:bCs/>
                <w:iCs/>
                <w:kern w:val="2"/>
                <w:sz w:val="24"/>
                <w:szCs w:val="24"/>
                <w:lang w:val="en-US" w:eastAsia="zh-CN" w:bidi="ar-SA"/>
              </w:rPr>
              <w:t>增量蓝海</w:t>
            </w:r>
            <w:r>
              <w:rPr>
                <w:rFonts w:hint="eastAsia" w:ascii="宋体" w:hAnsi="宋体" w:cs="Times New Roman"/>
                <w:bCs/>
                <w:iCs/>
                <w:kern w:val="2"/>
                <w:sz w:val="24"/>
                <w:szCs w:val="24"/>
                <w:lang w:val="en-US" w:eastAsia="zh-CN" w:bidi="ar-SA"/>
              </w:rPr>
              <w:t>，</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将在此领域投入更多资源，致力于将其打造为公司的第二增长曲线。与内燃叉车相比，电动平衡重叉车在全生命周期成本上拥有压倒性优势，尤其是在能源消耗和维护保养成本方面。随着环保法规趋严和企业对运营成本控制的日益精细化，这一替代趋势正在加速</w:t>
            </w:r>
            <w:r>
              <w:rPr>
                <w:rFonts w:hint="eastAsia" w:ascii="宋体" w:hAnsi="宋体" w:cs="Times New Roman"/>
                <w:bCs/>
                <w:iCs/>
                <w:kern w:val="2"/>
                <w:sz w:val="24"/>
                <w:szCs w:val="24"/>
                <w:lang w:val="en-US" w:eastAsia="zh-CN" w:bidi="ar-SA"/>
              </w:rPr>
              <w:t>，</w:t>
            </w:r>
            <w:r>
              <w:rPr>
                <w:rFonts w:hint="default" w:ascii="宋体" w:hAnsi="宋体" w:eastAsia="宋体" w:cs="Times New Roman"/>
                <w:bCs/>
                <w:iCs/>
                <w:kern w:val="2"/>
                <w:sz w:val="24"/>
                <w:szCs w:val="24"/>
                <w:lang w:val="en-US" w:eastAsia="zh-CN" w:bidi="ar-SA"/>
              </w:rPr>
              <w:t>公司正在积极推动这场替代浪潮。</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相信凭借在电动技术领域的深厚积累，能够为客户提供比传统内燃叉车更具经济性和环保价值的产品解决方案，从而在广阔的Class I市场中抢占更大份额。</w:t>
            </w:r>
          </w:p>
          <w:p w14:paraId="04B6CC28">
            <w:pPr>
              <w:spacing w:line="480" w:lineRule="atLeast"/>
              <w:ind w:firstLine="480" w:firstLineChars="200"/>
              <w:rPr>
                <w:rFonts w:hint="eastAsia" w:ascii="宋体" w:hAnsi="宋体"/>
                <w:bCs/>
                <w:iCs/>
                <w:sz w:val="24"/>
                <w:szCs w:val="24"/>
              </w:rPr>
            </w:pPr>
          </w:p>
          <w:p w14:paraId="03F11866">
            <w:pPr>
              <w:pStyle w:val="7"/>
              <w:keepNext w:val="0"/>
              <w:keepLines w:val="0"/>
              <w:widowControl/>
              <w:numPr>
                <w:ilvl w:val="0"/>
                <w:numId w:val="0"/>
              </w:numPr>
              <w:suppressLineNumbers w:val="0"/>
              <w:spacing w:before="0" w:beforeAutospacing="0" w:after="0" w:afterAutospacing="0" w:line="360" w:lineRule="auto"/>
              <w:ind w:left="0" w:leftChars="0" w:right="0" w:rightChars="0"/>
              <w:rPr>
                <w:rFonts w:hint="eastAsia" w:ascii="宋体" w:hAnsi="宋体" w:eastAsia="宋体" w:cs="Times New Roman"/>
                <w:b/>
                <w:bCs w:val="0"/>
                <w:iCs/>
                <w:kern w:val="2"/>
                <w:sz w:val="24"/>
                <w:szCs w:val="24"/>
                <w:lang w:val="en-US" w:eastAsia="zh-CN" w:bidi="ar-SA"/>
              </w:rPr>
            </w:pPr>
            <w:r>
              <w:rPr>
                <w:rFonts w:hint="eastAsia" w:ascii="宋体" w:hAnsi="宋体" w:eastAsia="宋体" w:cs="Times New Roman"/>
                <w:b/>
                <w:bCs w:val="0"/>
                <w:iCs/>
                <w:kern w:val="2"/>
                <w:sz w:val="24"/>
                <w:szCs w:val="24"/>
                <w:lang w:val="en-US" w:eastAsia="zh-CN" w:bidi="ar-SA"/>
              </w:rPr>
              <w:t>5、海外的市场之中，</w:t>
            </w:r>
            <w:r>
              <w:rPr>
                <w:rFonts w:hint="default" w:ascii="宋体" w:hAnsi="宋体" w:eastAsia="宋体" w:cs="Times New Roman"/>
                <w:b/>
                <w:bCs w:val="0"/>
                <w:iCs/>
                <w:kern w:val="2"/>
                <w:sz w:val="24"/>
                <w:szCs w:val="24"/>
                <w:lang w:val="en-US" w:eastAsia="zh-CN" w:bidi="ar-SA"/>
              </w:rPr>
              <w:t>Class I, II, III</w:t>
            </w:r>
            <w:r>
              <w:rPr>
                <w:rFonts w:hint="eastAsia" w:ascii="宋体" w:hAnsi="宋体" w:eastAsia="宋体" w:cs="Times New Roman"/>
                <w:b/>
                <w:bCs w:val="0"/>
                <w:iCs/>
                <w:kern w:val="2"/>
                <w:sz w:val="24"/>
                <w:szCs w:val="24"/>
                <w:lang w:val="en-US" w:eastAsia="zh-CN" w:bidi="ar-SA"/>
              </w:rPr>
              <w:t>这三类电动叉车哪一类更加流行呢？</w:t>
            </w:r>
          </w:p>
          <w:p w14:paraId="1EA98A78">
            <w:pPr>
              <w:pStyle w:val="7"/>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rPr>
                <w:rFonts w:hint="default" w:ascii="宋体" w:hAnsi="宋体" w:eastAsia="宋体" w:cs="Times New Roman"/>
                <w:bCs/>
                <w:iCs/>
                <w:kern w:val="2"/>
                <w:sz w:val="24"/>
                <w:szCs w:val="24"/>
                <w:lang w:val="en-US" w:eastAsia="zh-CN" w:bidi="ar-SA"/>
              </w:rPr>
            </w:pPr>
            <w:r>
              <w:rPr>
                <w:rFonts w:hint="eastAsia" w:ascii="宋体" w:hAnsi="宋体" w:eastAsia="宋体" w:cs="Times New Roman"/>
                <w:bCs/>
                <w:iCs/>
                <w:kern w:val="2"/>
                <w:sz w:val="24"/>
                <w:szCs w:val="24"/>
                <w:lang w:val="en-US" w:eastAsia="zh-CN" w:bidi="ar-SA"/>
              </w:rPr>
              <w:t>您这个问题非常关键，它直接关系到公司海外产品策略的精准性。从深耕海外市场的经验来看，三类产品的需求分布呈现出非常清晰的格局，即：</w:t>
            </w:r>
            <w:r>
              <w:rPr>
                <w:rFonts w:hint="default" w:ascii="宋体" w:hAnsi="宋体" w:eastAsia="宋体" w:cs="Times New Roman"/>
                <w:bCs/>
                <w:iCs/>
                <w:kern w:val="2"/>
                <w:sz w:val="24"/>
                <w:szCs w:val="24"/>
                <w:lang w:val="en-US" w:eastAsia="zh-CN" w:bidi="ar-SA"/>
              </w:rPr>
              <w:t>以Class I和Class III为绝对主力，Class II作为重要的补充。</w:t>
            </w:r>
          </w:p>
          <w:p w14:paraId="3DC7A770">
            <w:pPr>
              <w:pStyle w:val="7"/>
              <w:keepNext w:val="0"/>
              <w:keepLines w:val="0"/>
              <w:widowControl/>
              <w:suppressLineNumbers w:val="0"/>
              <w:spacing w:before="0" w:beforeAutospacing="0" w:after="0" w:afterAutospacing="0" w:line="360" w:lineRule="auto"/>
              <w:ind w:left="0" w:right="0"/>
              <w:rPr>
                <w:rFonts w:hint="eastAsia" w:ascii="宋体" w:hAnsi="宋体" w:eastAsia="宋体" w:cs="Times New Roman"/>
                <w:b/>
                <w:bCs w:val="0"/>
                <w:iCs/>
                <w:kern w:val="2"/>
                <w:sz w:val="24"/>
                <w:szCs w:val="24"/>
                <w:lang w:val="en-US" w:eastAsia="zh-CN" w:bidi="ar-SA"/>
              </w:rPr>
            </w:pPr>
          </w:p>
          <w:p w14:paraId="65E2006E">
            <w:pPr>
              <w:pStyle w:val="7"/>
              <w:keepNext w:val="0"/>
              <w:keepLines w:val="0"/>
              <w:widowControl/>
              <w:suppressLineNumbers w:val="0"/>
              <w:spacing w:before="0" w:beforeAutospacing="0" w:after="0" w:afterAutospacing="0" w:line="360" w:lineRule="auto"/>
              <w:ind w:left="0" w:right="0"/>
              <w:rPr>
                <w:rFonts w:hint="default" w:ascii="宋体" w:hAnsi="宋体" w:eastAsia="宋体" w:cs="Times New Roman"/>
                <w:b/>
                <w:bCs w:val="0"/>
                <w:iCs/>
                <w:kern w:val="2"/>
                <w:sz w:val="24"/>
                <w:szCs w:val="24"/>
                <w:lang w:val="en-US" w:eastAsia="zh-CN" w:bidi="ar-SA"/>
              </w:rPr>
            </w:pPr>
            <w:r>
              <w:rPr>
                <w:rFonts w:hint="eastAsia" w:ascii="宋体" w:hAnsi="宋体" w:eastAsia="宋体" w:cs="Times New Roman"/>
                <w:b/>
                <w:bCs w:val="0"/>
                <w:iCs/>
                <w:kern w:val="2"/>
                <w:sz w:val="24"/>
                <w:szCs w:val="24"/>
                <w:lang w:val="en-US" w:eastAsia="zh-CN" w:bidi="ar-SA"/>
              </w:rPr>
              <w:t>6、我们关注到，从刚刚您的讲解来看，无人叉车确实在智能化方面具有优势，那么从客户的角度来看，下游的接受度如何呢？</w:t>
            </w:r>
          </w:p>
          <w:p w14:paraId="32C35941">
            <w:pPr>
              <w:pStyle w:val="7"/>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Times New Roman"/>
                <w:bCs/>
                <w:iCs/>
                <w:kern w:val="2"/>
                <w:sz w:val="24"/>
                <w:szCs w:val="24"/>
                <w:lang w:val="en-US" w:eastAsia="zh-CN" w:bidi="ar-SA"/>
              </w:rPr>
            </w:pPr>
            <w:r>
              <w:rPr>
                <w:rFonts w:hint="eastAsia" w:ascii="宋体" w:hAnsi="宋体" w:eastAsia="宋体" w:cs="Times New Roman"/>
                <w:bCs/>
                <w:iCs/>
                <w:kern w:val="2"/>
                <w:sz w:val="24"/>
                <w:szCs w:val="24"/>
                <w:lang w:val="en-US" w:eastAsia="zh-CN" w:bidi="ar-SA"/>
              </w:rPr>
              <w:t>非常感谢您提出这个关键问题。无人叉车作为行业未来的重要方向，其市场接受度呈现出明显的</w:t>
            </w:r>
            <w:r>
              <w:rPr>
                <w:rFonts w:hint="default" w:ascii="宋体" w:hAnsi="宋体" w:eastAsia="宋体" w:cs="Times New Roman"/>
                <w:bCs/>
                <w:iCs/>
                <w:kern w:val="2"/>
                <w:sz w:val="24"/>
                <w:szCs w:val="24"/>
                <w:lang w:val="en-US" w:eastAsia="zh-CN" w:bidi="ar-SA"/>
              </w:rPr>
              <w:t>分层与差异化特征，</w:t>
            </w:r>
            <w:r>
              <w:rPr>
                <w:rFonts w:hint="eastAsia" w:ascii="宋体" w:hAnsi="宋体" w:eastAsia="宋体" w:cs="Times New Roman"/>
                <w:bCs/>
                <w:iCs/>
                <w:kern w:val="2"/>
                <w:sz w:val="24"/>
                <w:szCs w:val="24"/>
                <w:lang w:val="en-US" w:eastAsia="zh-CN" w:bidi="ar-SA"/>
              </w:rPr>
              <w:t>因此答案并不统一。</w:t>
            </w:r>
          </w:p>
          <w:p w14:paraId="578F59E6">
            <w:pPr>
              <w:pStyle w:val="7"/>
              <w:keepNext w:val="0"/>
              <w:keepLines w:val="0"/>
              <w:widowControl/>
              <w:suppressLineNumbers w:val="0"/>
              <w:spacing w:before="0" w:beforeAutospacing="0" w:after="0" w:afterAutospacing="0" w:line="360" w:lineRule="auto"/>
              <w:ind w:left="0" w:right="0" w:firstLine="480" w:firstLineChars="200"/>
              <w:rPr>
                <w:rFonts w:hint="default" w:ascii="宋体" w:hAnsi="宋体" w:eastAsia="宋体" w:cs="Times New Roman"/>
                <w:bCs/>
                <w:iCs/>
                <w:kern w:val="2"/>
                <w:sz w:val="24"/>
                <w:szCs w:val="24"/>
                <w:lang w:val="en-US" w:eastAsia="zh-CN" w:bidi="ar-SA"/>
              </w:rPr>
            </w:pPr>
            <w:r>
              <w:rPr>
                <w:rFonts w:hint="eastAsia" w:ascii="宋体" w:hAnsi="宋体" w:eastAsia="宋体" w:cs="Times New Roman"/>
                <w:bCs/>
                <w:iCs/>
                <w:kern w:val="2"/>
                <w:sz w:val="24"/>
                <w:szCs w:val="24"/>
                <w:lang w:val="en-US" w:eastAsia="zh-CN" w:bidi="ar-SA"/>
              </w:rPr>
              <w:t>对于广大中小型制造企业而言，其</w:t>
            </w:r>
            <w:r>
              <w:rPr>
                <w:rFonts w:hint="default" w:ascii="宋体" w:hAnsi="宋体" w:eastAsia="宋体" w:cs="Times New Roman"/>
                <w:bCs/>
                <w:iCs/>
                <w:kern w:val="2"/>
                <w:sz w:val="24"/>
                <w:szCs w:val="24"/>
                <w:lang w:val="en-US" w:eastAsia="zh-CN" w:bidi="ar-SA"/>
              </w:rPr>
              <w:t>情感认同高，特别</w:t>
            </w:r>
            <w:r>
              <w:rPr>
                <w:rFonts w:hint="eastAsia" w:ascii="宋体" w:hAnsi="宋体" w:eastAsia="宋体" w:cs="Times New Roman"/>
                <w:bCs/>
                <w:iCs/>
                <w:kern w:val="2"/>
                <w:sz w:val="24"/>
                <w:szCs w:val="24"/>
                <w:lang w:val="en-US" w:eastAsia="zh-CN" w:bidi="ar-SA"/>
              </w:rPr>
              <w:t>是</w:t>
            </w:r>
            <w:r>
              <w:rPr>
                <w:rFonts w:hint="default" w:ascii="宋体" w:hAnsi="宋体" w:eastAsia="宋体" w:cs="Times New Roman"/>
                <w:bCs/>
                <w:iCs/>
                <w:kern w:val="2"/>
                <w:sz w:val="24"/>
                <w:szCs w:val="24"/>
                <w:lang w:val="en-US" w:eastAsia="zh-CN" w:bidi="ar-SA"/>
              </w:rPr>
              <w:t>长期的使用</w:t>
            </w:r>
            <w:r>
              <w:rPr>
                <w:rFonts w:hint="eastAsia" w:ascii="宋体" w:hAnsi="宋体" w:eastAsia="宋体" w:cs="Times New Roman"/>
                <w:bCs/>
                <w:iCs/>
                <w:kern w:val="2"/>
                <w:sz w:val="24"/>
                <w:szCs w:val="24"/>
                <w:lang w:val="en-US" w:eastAsia="zh-CN" w:bidi="ar-SA"/>
              </w:rPr>
              <w:t>公司</w:t>
            </w:r>
            <w:r>
              <w:rPr>
                <w:rFonts w:hint="default" w:ascii="宋体" w:hAnsi="宋体" w:eastAsia="宋体" w:cs="Times New Roman"/>
                <w:bCs/>
                <w:iCs/>
                <w:kern w:val="2"/>
                <w:sz w:val="24"/>
                <w:szCs w:val="24"/>
                <w:lang w:val="en-US" w:eastAsia="zh-CN" w:bidi="ar-SA"/>
              </w:rPr>
              <w:t>传统叉车产品的客户，对品牌有很高的信任度，对新技术也抱有开放和好奇的态度。然而应用场景通常是零散的、非连续性的搬运任务。从投资回报率角度看，初始投资的门槛相较于其能带来的效率提升，说服力</w:t>
            </w:r>
            <w:r>
              <w:rPr>
                <w:rFonts w:hint="eastAsia" w:ascii="宋体" w:hAnsi="宋体" w:cs="Times New Roman"/>
                <w:bCs/>
                <w:iCs/>
                <w:kern w:val="2"/>
                <w:sz w:val="24"/>
                <w:szCs w:val="24"/>
                <w:lang w:val="en-US" w:eastAsia="zh-CN" w:bidi="ar-SA"/>
              </w:rPr>
              <w:t>仍需</w:t>
            </w:r>
            <w:r>
              <w:rPr>
                <w:rFonts w:hint="default" w:ascii="宋体" w:hAnsi="宋体" w:eastAsia="宋体" w:cs="Times New Roman"/>
                <w:bCs/>
                <w:iCs/>
                <w:kern w:val="2"/>
                <w:sz w:val="24"/>
                <w:szCs w:val="24"/>
                <w:lang w:val="en-US" w:eastAsia="zh-CN" w:bidi="ar-SA"/>
              </w:rPr>
              <w:t>时间积累。</w:t>
            </w:r>
          </w:p>
          <w:p w14:paraId="14B08D41">
            <w:pPr>
              <w:pStyle w:val="7"/>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Times New Roman"/>
                <w:bCs/>
                <w:iCs/>
                <w:kern w:val="2"/>
                <w:sz w:val="24"/>
                <w:szCs w:val="24"/>
                <w:lang w:val="en-US" w:eastAsia="zh-CN" w:bidi="ar-SA"/>
              </w:rPr>
            </w:pPr>
            <w:r>
              <w:rPr>
                <w:rFonts w:hint="eastAsia" w:ascii="宋体" w:hAnsi="宋体" w:eastAsia="宋体" w:cs="Times New Roman"/>
                <w:bCs/>
                <w:iCs/>
                <w:kern w:val="2"/>
                <w:sz w:val="24"/>
                <w:szCs w:val="24"/>
                <w:lang w:val="en-US" w:eastAsia="zh-CN" w:bidi="ar-SA"/>
              </w:rPr>
              <w:t>而对于大型物流以及规模化制造企业而言，无人叉车的接受度较高，已成为明确的增长驱动力。 大型汽车零部件制造</w:t>
            </w:r>
            <w:r>
              <w:rPr>
                <w:rFonts w:hint="eastAsia" w:ascii="宋体" w:hAnsi="宋体" w:cs="Times New Roman"/>
                <w:bCs/>
                <w:iCs/>
                <w:kern w:val="2"/>
                <w:sz w:val="24"/>
                <w:szCs w:val="24"/>
                <w:lang w:val="en-US" w:eastAsia="zh-CN" w:bidi="ar-SA"/>
              </w:rPr>
              <w:t>商</w:t>
            </w:r>
            <w:r>
              <w:rPr>
                <w:rFonts w:hint="eastAsia" w:ascii="宋体" w:hAnsi="宋体" w:eastAsia="宋体" w:cs="Times New Roman"/>
                <w:bCs/>
                <w:iCs/>
                <w:kern w:val="2"/>
                <w:sz w:val="24"/>
                <w:szCs w:val="24"/>
                <w:lang w:val="en-US" w:eastAsia="zh-CN" w:bidi="ar-SA"/>
              </w:rPr>
              <w:t>等为代表的客户，是当前无人叉车落地的主力军。尽管在极限速度或应对极端复杂多变的场景时，无人叉车可能暂时无法完全媲美熟练工人的灵活性，但其带来的综合优势是颠覆性的：</w:t>
            </w:r>
          </w:p>
          <w:p w14:paraId="11BC7C23">
            <w:pPr>
              <w:pStyle w:val="7"/>
              <w:keepNext w:val="0"/>
              <w:keepLines w:val="0"/>
              <w:widowControl/>
              <w:suppressLineNumbers w:val="0"/>
              <w:spacing w:before="0" w:beforeAutospacing="0" w:after="0" w:afterAutospacing="0" w:line="360" w:lineRule="auto"/>
              <w:ind w:left="0" w:right="0"/>
              <w:rPr>
                <w:rFonts w:hint="eastAsia"/>
                <w:lang w:eastAsia="zh-CN"/>
              </w:rPr>
            </w:pPr>
            <w:r>
              <w:rPr>
                <w:rFonts w:hint="eastAsia" w:ascii="宋体" w:hAnsi="宋体" w:eastAsia="宋体" w:cs="Times New Roman"/>
                <w:bCs/>
                <w:iCs/>
                <w:kern w:val="2"/>
                <w:sz w:val="24"/>
                <w:szCs w:val="24"/>
                <w:lang w:val="en-US" w:eastAsia="zh-CN" w:bidi="ar-SA"/>
              </w:rPr>
              <w:t>①：</w:t>
            </w:r>
            <w:r>
              <w:t>人工成本优势：实现24小时连续作业，有效应对用工难、用工贵问题，管理成本显著下降</w:t>
            </w:r>
            <w:r>
              <w:rPr>
                <w:rFonts w:hint="eastAsia"/>
                <w:lang w:eastAsia="zh-CN"/>
              </w:rPr>
              <w:t>；</w:t>
            </w:r>
          </w:p>
          <w:p w14:paraId="0C4E7E00">
            <w:pPr>
              <w:pStyle w:val="7"/>
              <w:keepNext w:val="0"/>
              <w:keepLines w:val="0"/>
              <w:widowControl/>
              <w:suppressLineNumbers w:val="0"/>
              <w:spacing w:before="0" w:beforeAutospacing="0" w:after="0" w:afterAutospacing="0" w:line="360" w:lineRule="auto"/>
              <w:ind w:left="0" w:right="0"/>
              <w:rPr>
                <w:rFonts w:hint="eastAsia"/>
                <w:lang w:eastAsia="zh-CN"/>
              </w:rPr>
            </w:pPr>
            <w:r>
              <w:rPr>
                <w:rFonts w:hint="eastAsia"/>
                <w:lang w:val="en-US" w:eastAsia="zh-CN"/>
              </w:rPr>
              <w:t>②：</w:t>
            </w:r>
            <w:r>
              <w:t>场地与效率优势：通过精准调度和行驶，提升空间利用率和吞吐效率，优化整个物流动线</w:t>
            </w:r>
            <w:r>
              <w:rPr>
                <w:rFonts w:hint="eastAsia"/>
                <w:lang w:eastAsia="zh-CN"/>
              </w:rPr>
              <w:t>；</w:t>
            </w:r>
          </w:p>
          <w:p w14:paraId="7C46C8FF">
            <w:pPr>
              <w:pStyle w:val="7"/>
              <w:keepNext w:val="0"/>
              <w:keepLines w:val="0"/>
              <w:widowControl/>
              <w:suppressLineNumbers w:val="0"/>
              <w:spacing w:before="0" w:beforeAutospacing="0" w:after="0" w:afterAutospacing="0" w:line="360" w:lineRule="auto"/>
              <w:ind w:left="0" w:right="0"/>
              <w:rPr>
                <w:rFonts w:hint="eastAsia"/>
                <w:lang w:eastAsia="zh-CN"/>
              </w:rPr>
            </w:pPr>
            <w:r>
              <w:rPr>
                <w:rFonts w:hint="eastAsia"/>
                <w:lang w:val="en-US" w:eastAsia="zh-CN"/>
              </w:rPr>
              <w:t>③：</w:t>
            </w:r>
            <w:r>
              <w:t>安全与标准化优势：彻底杜绝人为操作失误，保障人、货、场的安全，并实现流程的数字化与标准化</w:t>
            </w:r>
            <w:r>
              <w:rPr>
                <w:rFonts w:hint="eastAsia"/>
                <w:lang w:eastAsia="zh-CN"/>
              </w:rPr>
              <w:t>。</w:t>
            </w:r>
          </w:p>
          <w:p w14:paraId="710A3830">
            <w:pPr>
              <w:pStyle w:val="7"/>
              <w:keepNext w:val="0"/>
              <w:keepLines w:val="0"/>
              <w:widowControl/>
              <w:suppressLineNumbers w:val="0"/>
              <w:spacing w:before="0" w:beforeAutospacing="0" w:after="0" w:afterAutospacing="0" w:line="360" w:lineRule="auto"/>
              <w:ind w:left="0" w:right="0" w:firstLine="480" w:firstLineChars="200"/>
              <w:rPr>
                <w:rFonts w:hint="default"/>
              </w:rPr>
            </w:pPr>
            <w:r>
              <w:t>总结来看，</w:t>
            </w:r>
            <w:r>
              <w:rPr>
                <w:rFonts w:hint="default"/>
              </w:rPr>
              <w:t>下游接受度是分阶段的。目前高端市场的需求已经爆发并持续增长；而中低端市场的觉醒，将随着技术成本的进一步下降和客户认知的深化而逐步到来。</w:t>
            </w:r>
            <w:r>
              <w:rPr>
                <w:rFonts w:hint="eastAsia"/>
                <w:lang w:val="en-US" w:eastAsia="zh-CN"/>
              </w:rPr>
              <w:t>公司</w:t>
            </w:r>
            <w:r>
              <w:rPr>
                <w:rFonts w:hint="default"/>
              </w:rPr>
              <w:t>的策略是</w:t>
            </w:r>
            <w:r>
              <w:rPr>
                <w:rFonts w:hint="eastAsia"/>
                <w:lang w:eastAsia="zh-CN"/>
              </w:rPr>
              <w:t>“</w:t>
            </w:r>
            <w:r>
              <w:rPr>
                <w:rFonts w:hint="default"/>
              </w:rPr>
              <w:t>聚焦高端，引领普适</w:t>
            </w:r>
            <w:r>
              <w:rPr>
                <w:rFonts w:hint="eastAsia"/>
                <w:lang w:eastAsia="zh-CN"/>
              </w:rPr>
              <w:t>”，</w:t>
            </w:r>
            <w:r>
              <w:rPr>
                <w:rFonts w:hint="default"/>
              </w:rPr>
              <w:t>全力服务好当前的高需求客户，同时为未来的广泛普及做好技术和产品储备。</w:t>
            </w:r>
          </w:p>
          <w:p w14:paraId="0F676102">
            <w:pPr>
              <w:pStyle w:val="7"/>
              <w:keepNext w:val="0"/>
              <w:keepLines w:val="0"/>
              <w:widowControl/>
              <w:numPr>
                <w:ilvl w:val="0"/>
                <w:numId w:val="0"/>
              </w:numPr>
              <w:suppressLineNumbers w:val="0"/>
              <w:spacing w:before="0" w:beforeAutospacing="0" w:after="0" w:afterAutospacing="0" w:line="360" w:lineRule="auto"/>
              <w:ind w:left="0" w:leftChars="0" w:right="0" w:rightChars="0"/>
              <w:rPr>
                <w:rFonts w:hint="eastAsia" w:asciiTheme="majorEastAsia" w:hAnsiTheme="majorEastAsia" w:eastAsiaTheme="majorEastAsia" w:cstheme="majorEastAsia"/>
                <w:b/>
                <w:bCs/>
                <w:kern w:val="2"/>
                <w:sz w:val="24"/>
                <w:szCs w:val="24"/>
                <w:lang w:val="en-US" w:eastAsia="zh-CN" w:bidi="ar-SA"/>
              </w:rPr>
            </w:pPr>
          </w:p>
          <w:p w14:paraId="20467D28">
            <w:pPr>
              <w:pStyle w:val="7"/>
              <w:keepNext w:val="0"/>
              <w:keepLines w:val="0"/>
              <w:widowControl/>
              <w:numPr>
                <w:ilvl w:val="0"/>
                <w:numId w:val="0"/>
              </w:numPr>
              <w:suppressLineNumbers w:val="0"/>
              <w:spacing w:before="0" w:beforeAutospacing="0" w:after="0" w:afterAutospacing="0" w:line="360" w:lineRule="auto"/>
              <w:ind w:left="0" w:leftChars="0" w:right="0" w:rightChars="0"/>
              <w:rPr>
                <w:rFonts w:hint="eastAsia"/>
                <w:b/>
                <w:bCs/>
                <w:lang w:val="en-US" w:eastAsia="zh-CN"/>
              </w:rPr>
            </w:pPr>
            <w:r>
              <w:rPr>
                <w:rFonts w:hint="eastAsia" w:asciiTheme="majorEastAsia" w:hAnsiTheme="majorEastAsia" w:eastAsiaTheme="majorEastAsia" w:cstheme="majorEastAsia"/>
                <w:b/>
                <w:bCs/>
                <w:kern w:val="2"/>
                <w:sz w:val="24"/>
                <w:szCs w:val="24"/>
                <w:lang w:val="en-US" w:eastAsia="zh-CN" w:bidi="ar-SA"/>
              </w:rPr>
              <w:t>7</w:t>
            </w:r>
            <w:r>
              <w:rPr>
                <w:rFonts w:hint="eastAsia" w:asciiTheme="minorHAnsi" w:hAnsiTheme="minorHAnsi" w:eastAsiaTheme="minorEastAsia" w:cstheme="minorBidi"/>
                <w:b/>
                <w:bCs/>
                <w:kern w:val="2"/>
                <w:sz w:val="24"/>
                <w:szCs w:val="24"/>
                <w:lang w:val="en-US" w:eastAsia="zh-CN" w:bidi="ar-SA"/>
              </w:rPr>
              <w:t>、</w:t>
            </w:r>
            <w:r>
              <w:rPr>
                <w:rFonts w:hint="eastAsia"/>
                <w:b/>
                <w:bCs/>
                <w:lang w:val="en-US" w:eastAsia="zh-CN"/>
              </w:rPr>
              <w:t>我们也关注到，随着公司业务的发展25年的研发费用也呈现出显著的增长态势，26年研发费用您预计还会继续保持增长吗？</w:t>
            </w:r>
          </w:p>
          <w:p w14:paraId="2FAB60AE">
            <w:pPr>
              <w:pStyle w:val="7"/>
              <w:keepNext w:val="0"/>
              <w:keepLines w:val="0"/>
              <w:widowControl/>
              <w:suppressLineNumbers w:val="0"/>
              <w:spacing w:before="0" w:beforeAutospacing="0" w:after="0" w:afterAutospacing="0" w:line="360" w:lineRule="auto"/>
              <w:ind w:left="0" w:right="0" w:firstLine="480" w:firstLineChars="200"/>
              <w:rPr>
                <w:rFonts w:hint="default"/>
                <w:lang w:val="en-US" w:eastAsia="zh-CN"/>
              </w:rPr>
            </w:pPr>
            <w:r>
              <w:rPr>
                <w:rFonts w:hint="default"/>
                <w:lang w:eastAsia="zh-CN"/>
              </w:rPr>
              <w:t>2025年研发费用增长</w:t>
            </w:r>
            <w:r>
              <w:rPr>
                <w:rFonts w:hint="eastAsia"/>
                <w:lang w:val="en-US" w:eastAsia="zh-CN"/>
              </w:rPr>
              <w:t>的</w:t>
            </w:r>
            <w:r>
              <w:rPr>
                <w:rFonts w:hint="default"/>
                <w:lang w:eastAsia="zh-CN"/>
              </w:rPr>
              <w:t>态势并非简单的成本增加，而是对未来竞争力的投资。公司正全力进军</w:t>
            </w:r>
            <w:r>
              <w:rPr>
                <w:rFonts w:hint="eastAsia"/>
                <w:lang w:val="en-US" w:eastAsia="zh-CN"/>
              </w:rPr>
              <w:t>机器人与</w:t>
            </w:r>
            <w:r>
              <w:rPr>
                <w:rFonts w:hint="default"/>
                <w:lang w:eastAsia="zh-CN"/>
              </w:rPr>
              <w:t>无人智能物流这一广阔赛道。</w:t>
            </w:r>
            <w:r>
              <w:rPr>
                <w:rFonts w:hint="eastAsia"/>
                <w:lang w:val="en-US" w:eastAsia="zh-CN"/>
              </w:rPr>
              <w:t>作为</w:t>
            </w:r>
            <w:r>
              <w:rPr>
                <w:rFonts w:hint="default"/>
                <w:lang w:eastAsia="zh-CN"/>
              </w:rPr>
              <w:t>一个技术密集、发展迅猛的领域</w:t>
            </w:r>
            <w:r>
              <w:rPr>
                <w:rFonts w:hint="eastAsia"/>
                <w:lang w:eastAsia="zh-CN"/>
              </w:rPr>
              <w:t>，</w:t>
            </w:r>
            <w:r>
              <w:rPr>
                <w:rFonts w:hint="eastAsia"/>
                <w:lang w:val="en-US" w:eastAsia="zh-CN"/>
              </w:rPr>
              <w:t>为了在这些前沿领域构筑坚实的技术壁垒并推出具有颠覆性的产品，公司必须进行</w:t>
            </w:r>
            <w:r>
              <w:rPr>
                <w:rFonts w:hint="default"/>
                <w:lang w:val="en-US" w:eastAsia="zh-CN"/>
              </w:rPr>
              <w:t>持续的研发投入</w:t>
            </w:r>
            <w:r>
              <w:rPr>
                <w:rFonts w:hint="eastAsia"/>
                <w:lang w:val="en-US" w:eastAsia="zh-CN"/>
              </w:rPr>
              <w:t>与</w:t>
            </w:r>
            <w:r>
              <w:rPr>
                <w:rFonts w:hint="default"/>
                <w:lang w:val="en-US" w:eastAsia="zh-CN"/>
              </w:rPr>
              <w:t>高端人才储备的扩大。</w:t>
            </w:r>
            <w:r>
              <w:rPr>
                <w:rFonts w:hint="eastAsia"/>
                <w:lang w:val="en-US" w:eastAsia="zh-CN"/>
              </w:rPr>
              <w:t>未来公司</w:t>
            </w:r>
            <w:r>
              <w:rPr>
                <w:rFonts w:hint="default"/>
                <w:lang w:val="en-US" w:eastAsia="zh-CN"/>
              </w:rPr>
              <w:t>将继续在这一战略方向上加大投入，确保技术领先性和产品竞争</w:t>
            </w:r>
            <w:r>
              <w:rPr>
                <w:rFonts w:hint="eastAsia"/>
                <w:lang w:val="en-US" w:eastAsia="zh-CN"/>
              </w:rPr>
              <w:t>力。</w:t>
            </w:r>
          </w:p>
          <w:p w14:paraId="6CDEBDB6">
            <w:pPr>
              <w:pStyle w:val="7"/>
              <w:keepNext w:val="0"/>
              <w:keepLines w:val="0"/>
              <w:widowControl/>
              <w:suppressLineNumbers w:val="0"/>
              <w:spacing w:before="0" w:beforeAutospacing="0" w:after="0" w:afterAutospacing="0" w:line="360" w:lineRule="auto"/>
              <w:ind w:left="0" w:right="0"/>
              <w:rPr>
                <w:rFonts w:hint="default"/>
                <w:b/>
                <w:bCs/>
              </w:rPr>
            </w:pPr>
          </w:p>
          <w:p w14:paraId="5BF134C9">
            <w:pPr>
              <w:pStyle w:val="7"/>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rPr>
                <w:rFonts w:hint="default" w:ascii="宋体" w:hAnsi="宋体" w:eastAsia="宋体" w:cs="Times New Roman"/>
                <w:bCs/>
                <w:iCs/>
                <w:kern w:val="2"/>
                <w:sz w:val="24"/>
                <w:szCs w:val="24"/>
                <w:lang w:val="en-US" w:eastAsia="zh-CN" w:bidi="ar-SA"/>
              </w:rPr>
            </w:pPr>
          </w:p>
          <w:p w14:paraId="1FA5D25D">
            <w:pPr>
              <w:spacing w:line="480" w:lineRule="atLeast"/>
              <w:ind w:firstLine="480" w:firstLineChars="200"/>
              <w:rPr>
                <w:rFonts w:hint="eastAsia" w:ascii="宋体" w:hAnsi="宋体"/>
                <w:bCs/>
                <w:iCs/>
                <w:sz w:val="24"/>
                <w:szCs w:val="24"/>
              </w:rPr>
            </w:pPr>
          </w:p>
        </w:tc>
      </w:tr>
      <w:tr w14:paraId="542D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vAlign w:val="center"/>
          </w:tcPr>
          <w:p w14:paraId="676F6A13">
            <w:pPr>
              <w:rPr>
                <w:rFonts w:hint="eastAsia" w:ascii="宋体" w:hAnsi="宋体"/>
                <w:b/>
                <w:bCs/>
                <w:iCs/>
                <w:sz w:val="24"/>
                <w:szCs w:val="24"/>
              </w:rPr>
            </w:pPr>
            <w:r>
              <w:rPr>
                <w:rFonts w:hint="eastAsia" w:ascii="宋体" w:hAnsi="宋体"/>
                <w:b/>
                <w:bCs/>
                <w:iCs/>
                <w:sz w:val="24"/>
                <w:szCs w:val="24"/>
              </w:rPr>
              <w:t>附件清单（如有）</w:t>
            </w:r>
          </w:p>
        </w:tc>
        <w:tc>
          <w:tcPr>
            <w:tcW w:w="6693" w:type="dxa"/>
          </w:tcPr>
          <w:p w14:paraId="38454321">
            <w:pPr>
              <w:spacing w:line="480" w:lineRule="atLeast"/>
              <w:rPr>
                <w:rFonts w:hint="eastAsia" w:ascii="宋体" w:hAnsi="宋体"/>
                <w:bCs/>
                <w:iCs/>
                <w:sz w:val="24"/>
                <w:szCs w:val="24"/>
              </w:rPr>
            </w:pPr>
            <w:r>
              <w:rPr>
                <w:rFonts w:hint="eastAsia" w:ascii="宋体" w:hAnsi="宋体"/>
                <w:bCs/>
                <w:iCs/>
                <w:sz w:val="24"/>
                <w:szCs w:val="24"/>
              </w:rPr>
              <w:t>无</w:t>
            </w:r>
          </w:p>
        </w:tc>
      </w:tr>
      <w:tr w14:paraId="286E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vAlign w:val="center"/>
          </w:tcPr>
          <w:p w14:paraId="60ACA70F">
            <w:pPr>
              <w:rPr>
                <w:rFonts w:hint="eastAsia" w:ascii="宋体" w:hAnsi="宋体"/>
                <w:b/>
                <w:bCs/>
                <w:iCs/>
                <w:sz w:val="24"/>
                <w:szCs w:val="24"/>
              </w:rPr>
            </w:pPr>
            <w:r>
              <w:rPr>
                <w:rFonts w:hint="eastAsia" w:ascii="宋体" w:hAnsi="宋体"/>
                <w:b/>
                <w:bCs/>
                <w:iCs/>
                <w:sz w:val="24"/>
                <w:szCs w:val="24"/>
              </w:rPr>
              <w:t>日期</w:t>
            </w:r>
          </w:p>
        </w:tc>
        <w:tc>
          <w:tcPr>
            <w:tcW w:w="6693" w:type="dxa"/>
          </w:tcPr>
          <w:p w14:paraId="5A91DA3E">
            <w:pPr>
              <w:spacing w:line="480" w:lineRule="atLeast"/>
              <w:rPr>
                <w:rFonts w:hint="eastAsia" w:ascii="宋体" w:hAnsi="宋体"/>
                <w:bCs/>
                <w:iCs/>
                <w:sz w:val="24"/>
                <w:szCs w:val="24"/>
              </w:rPr>
            </w:pPr>
            <w:r>
              <w:rPr>
                <w:rFonts w:hint="eastAsia" w:ascii="宋体" w:hAnsi="宋体"/>
                <w:bCs/>
                <w:iCs/>
                <w:sz w:val="24"/>
                <w:szCs w:val="24"/>
              </w:rPr>
              <w:t>2025年</w:t>
            </w:r>
            <w:r>
              <w:rPr>
                <w:rFonts w:hint="eastAsia" w:ascii="宋体" w:hAnsi="宋体"/>
                <w:bCs/>
                <w:iCs/>
                <w:sz w:val="24"/>
                <w:szCs w:val="24"/>
                <w:lang w:val="en-US" w:eastAsia="zh-CN"/>
              </w:rPr>
              <w:t>11</w:t>
            </w:r>
            <w:r>
              <w:rPr>
                <w:rFonts w:hint="eastAsia" w:ascii="宋体" w:hAnsi="宋体"/>
                <w:bCs/>
                <w:iCs/>
                <w:sz w:val="24"/>
                <w:szCs w:val="24"/>
              </w:rPr>
              <w:t>月</w:t>
            </w:r>
            <w:r>
              <w:rPr>
                <w:rFonts w:hint="eastAsia" w:ascii="宋体" w:hAnsi="宋体"/>
                <w:bCs/>
                <w:iCs/>
                <w:sz w:val="24"/>
                <w:szCs w:val="24"/>
                <w:lang w:val="en-US" w:eastAsia="zh-CN"/>
              </w:rPr>
              <w:t>28</w:t>
            </w:r>
            <w:r>
              <w:rPr>
                <w:rFonts w:hint="eastAsia" w:ascii="宋体" w:hAnsi="宋体"/>
                <w:bCs/>
                <w:iCs/>
                <w:sz w:val="24"/>
                <w:szCs w:val="24"/>
              </w:rPr>
              <w:t>日</w:t>
            </w:r>
          </w:p>
        </w:tc>
      </w:tr>
    </w:tbl>
    <w:p w14:paraId="03B5AC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ZmUwOTBlYTVlMmIzMWQ1NjQ2Y2Y2ZjQwNjc4M2MifQ=="/>
  </w:docVars>
  <w:rsids>
    <w:rsidRoot w:val="006B0E6C"/>
    <w:rsid w:val="00012FF9"/>
    <w:rsid w:val="00024B0C"/>
    <w:rsid w:val="00026B32"/>
    <w:rsid w:val="000319E4"/>
    <w:rsid w:val="000567C9"/>
    <w:rsid w:val="000725F0"/>
    <w:rsid w:val="0007685E"/>
    <w:rsid w:val="0009705E"/>
    <w:rsid w:val="000B749A"/>
    <w:rsid w:val="000E5E3F"/>
    <w:rsid w:val="000F0580"/>
    <w:rsid w:val="00102412"/>
    <w:rsid w:val="00140897"/>
    <w:rsid w:val="001471A8"/>
    <w:rsid w:val="001624AA"/>
    <w:rsid w:val="001B3C99"/>
    <w:rsid w:val="001C7E6F"/>
    <w:rsid w:val="001D4ADB"/>
    <w:rsid w:val="001D5099"/>
    <w:rsid w:val="001D5862"/>
    <w:rsid w:val="001E7AAB"/>
    <w:rsid w:val="002506CB"/>
    <w:rsid w:val="002738EB"/>
    <w:rsid w:val="002A1DD2"/>
    <w:rsid w:val="002A5AE9"/>
    <w:rsid w:val="002C1BE0"/>
    <w:rsid w:val="002C236D"/>
    <w:rsid w:val="002C257C"/>
    <w:rsid w:val="002D4EB5"/>
    <w:rsid w:val="002E4C56"/>
    <w:rsid w:val="00341F42"/>
    <w:rsid w:val="00353A22"/>
    <w:rsid w:val="00390F87"/>
    <w:rsid w:val="003A2F8E"/>
    <w:rsid w:val="00400BF7"/>
    <w:rsid w:val="00402F61"/>
    <w:rsid w:val="00406E0C"/>
    <w:rsid w:val="004141EC"/>
    <w:rsid w:val="0045011A"/>
    <w:rsid w:val="004679DD"/>
    <w:rsid w:val="0048673F"/>
    <w:rsid w:val="004B273D"/>
    <w:rsid w:val="004B50E8"/>
    <w:rsid w:val="004B66F0"/>
    <w:rsid w:val="004C5FBC"/>
    <w:rsid w:val="00507C47"/>
    <w:rsid w:val="00523713"/>
    <w:rsid w:val="00523E68"/>
    <w:rsid w:val="00563454"/>
    <w:rsid w:val="005A1266"/>
    <w:rsid w:val="005B6121"/>
    <w:rsid w:val="005D4382"/>
    <w:rsid w:val="005D5D85"/>
    <w:rsid w:val="00607ACD"/>
    <w:rsid w:val="00637635"/>
    <w:rsid w:val="006526A4"/>
    <w:rsid w:val="00656DA9"/>
    <w:rsid w:val="006627D7"/>
    <w:rsid w:val="006665D0"/>
    <w:rsid w:val="00677225"/>
    <w:rsid w:val="00684C11"/>
    <w:rsid w:val="00687C01"/>
    <w:rsid w:val="006B0E6C"/>
    <w:rsid w:val="006B7EA4"/>
    <w:rsid w:val="006E316F"/>
    <w:rsid w:val="006E5E91"/>
    <w:rsid w:val="00711003"/>
    <w:rsid w:val="00731640"/>
    <w:rsid w:val="00733B61"/>
    <w:rsid w:val="007A7869"/>
    <w:rsid w:val="007E4680"/>
    <w:rsid w:val="007F5CBB"/>
    <w:rsid w:val="0082201F"/>
    <w:rsid w:val="008251D4"/>
    <w:rsid w:val="0082608C"/>
    <w:rsid w:val="00834152"/>
    <w:rsid w:val="008452B6"/>
    <w:rsid w:val="00847741"/>
    <w:rsid w:val="00862FD7"/>
    <w:rsid w:val="008757E2"/>
    <w:rsid w:val="0088003D"/>
    <w:rsid w:val="008920C5"/>
    <w:rsid w:val="00893294"/>
    <w:rsid w:val="008A05FF"/>
    <w:rsid w:val="008B50AF"/>
    <w:rsid w:val="008C2311"/>
    <w:rsid w:val="008D6036"/>
    <w:rsid w:val="008F7B68"/>
    <w:rsid w:val="00915919"/>
    <w:rsid w:val="0094524F"/>
    <w:rsid w:val="0095082C"/>
    <w:rsid w:val="009572F5"/>
    <w:rsid w:val="00964EC8"/>
    <w:rsid w:val="009A7C52"/>
    <w:rsid w:val="009B74E9"/>
    <w:rsid w:val="009C0D7B"/>
    <w:rsid w:val="009E28F7"/>
    <w:rsid w:val="009F7FC9"/>
    <w:rsid w:val="00A14C40"/>
    <w:rsid w:val="00A55DD9"/>
    <w:rsid w:val="00A721C6"/>
    <w:rsid w:val="00A76DAD"/>
    <w:rsid w:val="00AA18AF"/>
    <w:rsid w:val="00AA5CA4"/>
    <w:rsid w:val="00AC10E3"/>
    <w:rsid w:val="00AF58D5"/>
    <w:rsid w:val="00B153F6"/>
    <w:rsid w:val="00B540CC"/>
    <w:rsid w:val="00B5502C"/>
    <w:rsid w:val="00B9522E"/>
    <w:rsid w:val="00BA22D8"/>
    <w:rsid w:val="00BA317D"/>
    <w:rsid w:val="00BA7566"/>
    <w:rsid w:val="00BB062A"/>
    <w:rsid w:val="00BC30BC"/>
    <w:rsid w:val="00BC4429"/>
    <w:rsid w:val="00C04C5F"/>
    <w:rsid w:val="00C1199C"/>
    <w:rsid w:val="00C277E3"/>
    <w:rsid w:val="00C34A89"/>
    <w:rsid w:val="00C42A9B"/>
    <w:rsid w:val="00C43D8D"/>
    <w:rsid w:val="00C6373E"/>
    <w:rsid w:val="00CA4B6F"/>
    <w:rsid w:val="00CB10AD"/>
    <w:rsid w:val="00CE453C"/>
    <w:rsid w:val="00D275D1"/>
    <w:rsid w:val="00D3401F"/>
    <w:rsid w:val="00DA2E08"/>
    <w:rsid w:val="00DA33FA"/>
    <w:rsid w:val="00E21A42"/>
    <w:rsid w:val="00E60C15"/>
    <w:rsid w:val="00E63305"/>
    <w:rsid w:val="00E70E7E"/>
    <w:rsid w:val="00E731FF"/>
    <w:rsid w:val="00E977B9"/>
    <w:rsid w:val="00EA6C50"/>
    <w:rsid w:val="00ED2E98"/>
    <w:rsid w:val="00F02073"/>
    <w:rsid w:val="00F0255E"/>
    <w:rsid w:val="00F13448"/>
    <w:rsid w:val="00F1460F"/>
    <w:rsid w:val="00FA0531"/>
    <w:rsid w:val="00FB0A30"/>
    <w:rsid w:val="00FB63DB"/>
    <w:rsid w:val="00FD5FFE"/>
    <w:rsid w:val="00FF0C19"/>
    <w:rsid w:val="097C2730"/>
    <w:rsid w:val="23DB0CFF"/>
    <w:rsid w:val="2C7E555C"/>
    <w:rsid w:val="2FA6283A"/>
    <w:rsid w:val="32580DB8"/>
    <w:rsid w:val="333F7FD5"/>
    <w:rsid w:val="526C7226"/>
    <w:rsid w:val="6196077A"/>
    <w:rsid w:val="65640F66"/>
    <w:rsid w:val="70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rPr>
      <w:sz w:val="24"/>
    </w:rPr>
  </w:style>
  <w:style w:type="character" w:styleId="10">
    <w:name w:val="Strong"/>
    <w:basedOn w:val="9"/>
    <w:qFormat/>
    <w:uiPriority w:val="0"/>
    <w:rPr>
      <w:b/>
    </w:rPr>
  </w:style>
  <w:style w:type="character" w:customStyle="1" w:styleId="11">
    <w:name w:val="标题 2 字符"/>
    <w:basedOn w:val="9"/>
    <w:link w:val="2"/>
    <w:qFormat/>
    <w:uiPriority w:val="9"/>
    <w:rPr>
      <w:rFonts w:asciiTheme="majorHAnsi" w:hAnsiTheme="majorHAnsi" w:eastAsiaTheme="majorEastAsia" w:cstheme="majorBidi"/>
      <w:b/>
      <w:bCs/>
      <w:sz w:val="32"/>
      <w:szCs w:val="32"/>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页眉 字符"/>
    <w:basedOn w:val="9"/>
    <w:link w:val="6"/>
    <w:qFormat/>
    <w:uiPriority w:val="99"/>
    <w:rPr>
      <w:rFonts w:ascii="Times New Roman" w:hAnsi="Times New Roman" w:eastAsia="宋体" w:cs="Times New Roman"/>
      <w:sz w:val="18"/>
      <w:szCs w:val="18"/>
    </w:rPr>
  </w:style>
  <w:style w:type="character" w:customStyle="1" w:styleId="14">
    <w:name w:val="页脚 字符"/>
    <w:basedOn w:val="9"/>
    <w:link w:val="5"/>
    <w:qFormat/>
    <w:uiPriority w:val="99"/>
    <w:rPr>
      <w:rFonts w:ascii="Times New Roman" w:hAnsi="Times New Roman" w:eastAsia="宋体" w:cs="Times New Roman"/>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3482</Words>
  <Characters>3581</Characters>
  <Lines>13</Lines>
  <Paragraphs>3</Paragraphs>
  <TotalTime>10</TotalTime>
  <ScaleCrop>false</ScaleCrop>
  <LinksUpToDate>false</LinksUpToDate>
  <CharactersWithSpaces>3716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2021-03-02T08:03:00Z</dcterms:created>
  <dc:creator>张园园</dc:creator>
  <cp:lastModifiedBy>。</cp:lastModifiedBy>
  <dcterms:modified xsi:type="dcterms:W3CDTF">2025-12-01T05:20:31Z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1A8E487A8B864AEDA550AC2D4FC7DB21_13</vt:lpwstr>
  </property>
  <property fmtid="{D5CDD505-2E9C-101B-9397-08002B2CF9AE}" pid="4" name="KSOTemplateDocerSaveRecord">
    <vt:lpwstr>eyJoZGlkIjoiN2FiZmE1Yjc1YjUyZjRkMzZhNzkxNTM0N2VkYjYzYjIiLCJ1c2VySWQiOiI0NDA0ODk2MDYifQ==</vt:lpwstr>
  </property>
</Properties>
</file>