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5EA8">
      <w:pPr>
        <w:tabs>
          <w:tab w:val="left" w:pos="3045"/>
          <w:tab w:val="left" w:pos="6285"/>
        </w:tabs>
        <w:spacing w:line="0" w:lineRule="atLeast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证券代码：603218                                   证券简称：日月股份 </w:t>
      </w:r>
    </w:p>
    <w:p w14:paraId="7A3B0887">
      <w:pPr>
        <w:tabs>
          <w:tab w:val="left" w:pos="3045"/>
          <w:tab w:val="left" w:pos="6285"/>
        </w:tabs>
        <w:spacing w:line="0" w:lineRule="atLeast"/>
        <w:ind w:firstLine="472"/>
        <w:rPr>
          <w:rFonts w:hint="eastAsia" w:ascii="宋体" w:hAnsi="宋体"/>
          <w:sz w:val="24"/>
          <w:szCs w:val="24"/>
        </w:rPr>
      </w:pPr>
    </w:p>
    <w:p w14:paraId="45C31768">
      <w:pPr>
        <w:ind w:firstLine="787"/>
        <w:jc w:val="center"/>
        <w:rPr>
          <w:rFonts w:hint="eastAsia"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日月重工股份有限公司</w:t>
      </w:r>
    </w:p>
    <w:p w14:paraId="6865CE11">
      <w:pPr>
        <w:ind w:firstLine="787"/>
        <w:jc w:val="center"/>
        <w:rPr>
          <w:rFonts w:hint="eastAsia"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投资者关系活动记录表</w:t>
      </w:r>
    </w:p>
    <w:p w14:paraId="249F417D">
      <w:pPr>
        <w:tabs>
          <w:tab w:val="left" w:pos="3045"/>
          <w:tab w:val="left" w:pos="6285"/>
        </w:tabs>
        <w:spacing w:line="0" w:lineRule="atLeast"/>
        <w:ind w:firstLine="472"/>
        <w:rPr>
          <w:rFonts w:hint="eastAsia" w:ascii="宋体" w:hAnsi="宋体"/>
          <w:sz w:val="13"/>
          <w:szCs w:val="13"/>
        </w:rPr>
      </w:pPr>
    </w:p>
    <w:p w14:paraId="0CA00DB0">
      <w:pPr>
        <w:tabs>
          <w:tab w:val="left" w:pos="3045"/>
          <w:tab w:val="left" w:pos="6285"/>
        </w:tabs>
        <w:spacing w:line="0" w:lineRule="atLeast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编号：202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-</w:t>
      </w:r>
      <w:r>
        <w:rPr>
          <w:rFonts w:hint="default" w:ascii="宋体" w:hAnsi="宋体"/>
          <w:sz w:val="24"/>
          <w:szCs w:val="24"/>
          <w:lang w:val="en-US"/>
        </w:rPr>
        <w:t>12</w:t>
      </w:r>
      <w:r>
        <w:rPr>
          <w:rFonts w:hint="eastAsia" w:ascii="宋体" w:hAnsi="宋体"/>
          <w:sz w:val="24"/>
          <w:szCs w:val="24"/>
        </w:rPr>
        <w:t>-001</w:t>
      </w:r>
    </w:p>
    <w:tbl>
      <w:tblPr>
        <w:tblStyle w:val="7"/>
        <w:tblW w:w="8978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3"/>
        <w:gridCol w:w="7135"/>
      </w:tblGrid>
      <w:tr w14:paraId="235541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3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9D20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投资者关系</w:t>
            </w:r>
          </w:p>
          <w:p w14:paraId="0C3B667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活动类别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D753F9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特定对象调研     □ 分析师会议    </w:t>
            </w:r>
          </w:p>
          <w:p w14:paraId="28BD68C0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 媒体采访</w:t>
            </w:r>
            <w:bookmarkStart w:id="0" w:name="OLE_LINK3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□</w:t>
            </w:r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业绩说明会    </w:t>
            </w:r>
            <w:bookmarkStart w:id="1" w:name="OLE_LINK1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  <w:p w14:paraId="056859CE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bookmarkEnd w:id="1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新闻发布会       □ 路演活动</w:t>
            </w:r>
          </w:p>
          <w:p w14:paraId="0F49F554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现场接待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 其他（</w:t>
            </w:r>
            <w:bookmarkStart w:id="2" w:name="OLE_LINK2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电话会议</w:t>
            </w:r>
            <w:bookmarkEnd w:id="2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</w:p>
        </w:tc>
      </w:tr>
      <w:tr w14:paraId="4138A9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0943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参与单位名称</w:t>
            </w: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及</w:t>
            </w: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人员名单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3EA05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国投瑞银基金管理有限公司：朴虹睿</w:t>
            </w:r>
          </w:p>
          <w:p w14:paraId="2F03D615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景顺长城基金管理有限公司：曹雅倩</w:t>
            </w:r>
          </w:p>
          <w:p w14:paraId="2AB60991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兴业证券经济与金融研究院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：王帅</w:t>
            </w:r>
          </w:p>
        </w:tc>
      </w:tr>
      <w:tr w14:paraId="35D527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B8B99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B3FBF2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bookmarkStart w:id="3" w:name="OLE_LINK4"/>
            <w:r>
              <w:rPr>
                <w:rFonts w:asciiTheme="minorEastAsia" w:hAnsiTheme="minorEastAsia" w:eastAsiaTheme="minorEastAsia"/>
                <w:sz w:val="24"/>
                <w:szCs w:val="24"/>
              </w:rPr>
              <w:t>2025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bookmarkEnd w:id="3"/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 w14:paraId="72861E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5C99E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8A23A3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浙江省宁波市鄞州区首南街道天智巷7号日月星座大厦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二十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楼会议室</w:t>
            </w:r>
          </w:p>
        </w:tc>
      </w:tr>
      <w:tr w14:paraId="1F5AF6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8583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上市公司接待人员及职务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8787D">
            <w:pPr>
              <w:spacing w:line="360" w:lineRule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副总经理兼董事会秘书：卢建波</w:t>
            </w:r>
          </w:p>
          <w:p w14:paraId="60866845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财务负责人：杜志</w:t>
            </w:r>
          </w:p>
        </w:tc>
      </w:tr>
      <w:tr w14:paraId="4A5D59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9F25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投资者关系</w:t>
            </w:r>
          </w:p>
          <w:p w14:paraId="35C332C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活动主要内容介绍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EB151">
            <w:pPr>
              <w:adjustRightInd w:val="0"/>
              <w:snapToGrid w:val="0"/>
              <w:spacing w:before="156" w:beforeLines="50" w:line="360" w:lineRule="auto"/>
              <w:ind w:firstLine="472" w:firstLineChars="196"/>
              <w:jc w:val="both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交流内容主要如下：</w:t>
            </w:r>
          </w:p>
          <w:p w14:paraId="467C21CC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公司前三季度经营情况如何？</w:t>
            </w:r>
          </w:p>
          <w:p w14:paraId="192B9C9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答：2025年前三季度，公司实现营业收入4,855,341,722.86元，</w:t>
            </w:r>
            <w:r>
              <w:rPr>
                <w:rFonts w:hint="eastAsia" w:ascii="sans-serif" w:hAnsi="sans-serif" w:eastAsia="宋体" w:cs="sans-serif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相比上年同期增长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52.45%，</w:t>
            </w:r>
            <w:r>
              <w:rPr>
                <w:rFonts w:hint="eastAsia" w:ascii="宋体" w:hAnsi="宋体"/>
                <w:sz w:val="24"/>
                <w:szCs w:val="24"/>
              </w:rPr>
              <w:t>归属于上市公司股东的扣除非经常性损益的净利润为403,132,073.77元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sans-serif" w:hAnsi="sans-serif" w:eastAsia="宋体" w:cs="sans-serif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相比上年同期增长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80.80%</w:t>
            </w:r>
            <w:r>
              <w:rPr>
                <w:rFonts w:hint="eastAsia" w:ascii="宋体" w:hAnsi="宋体"/>
                <w:sz w:val="24"/>
                <w:szCs w:val="24"/>
              </w:rPr>
              <w:t>；基本每股收益为0.42元/股，加权平均净资产收益率为4.26%。</w:t>
            </w:r>
          </w:p>
          <w:p w14:paraId="5C5FF196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前三季度风电行业发展情况如何？</w:t>
            </w:r>
          </w:p>
          <w:p w14:paraId="4E86B470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据国家能源局数据，2025年前三季度，全国风电新增并网容量6109万千瓦，其中陆上风电5759万千瓦，海上风电350万千瓦。截至2025年9月底，全国风电累计并网容量达到5.82亿千瓦，同比增长21.3%，其中陆上风电5.37亿千瓦，海上风电4461万千瓦。2025年前三季度，全国风电累计发电量8137亿千瓦时，同比增长14.3%，全国风电平均利用率94.0%。</w:t>
            </w:r>
          </w:p>
          <w:p w14:paraId="4BD9BB4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3、公司海外业务主要采用哪些贸易条款？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如何</w:t>
            </w:r>
            <w:r>
              <w:rPr>
                <w:rFonts w:hint="eastAsia" w:ascii="宋体" w:hAnsi="宋体"/>
                <w:sz w:val="24"/>
                <w:szCs w:val="24"/>
              </w:rPr>
              <w:t>应对关税波动风险？</w:t>
            </w:r>
          </w:p>
          <w:p w14:paraId="58628CC5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答：公司海外业务核心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  <w:szCs w:val="24"/>
              </w:rPr>
              <w:t>采用FOB、DAP、FCA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4"/>
                <w:szCs w:val="24"/>
              </w:rPr>
              <w:t>贸易条款，贴合风电行业特性、客户需求及市场布局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进口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关税及相关税费均由买方承担，公司不直接面临关税加征的成本压力，未来，公司也会根据全球物流格局、区域市场需求变化及客户合作模式动态优化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与调整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贸易条款的应用比例，持续提升海外业务的运营效率与客户满意度。</w:t>
            </w:r>
          </w:p>
          <w:p w14:paraId="49F48E65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公司如何持续保证产品质量？</w:t>
            </w:r>
          </w:p>
          <w:p w14:paraId="5A6160B9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答：公司始终将质量管控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贯穿产品生产</w:t>
            </w:r>
            <w:r>
              <w:rPr>
                <w:rFonts w:hint="eastAsia" w:ascii="宋体" w:hAnsi="宋体"/>
                <w:sz w:val="24"/>
                <w:szCs w:val="24"/>
              </w:rPr>
              <w:t>全链条，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宋体" w:hAnsi="宋体"/>
                <w:sz w:val="24"/>
                <w:szCs w:val="24"/>
              </w:rPr>
              <w:t>构建“组织保障、全员参与、全流程闭环、长效赋能”的系统性体系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，确保产品质量稳定可控，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具体措施如下：（1）建立“质量安全中心统筹+分厂执行+跨部门联动”的三级管控架构，明确各环节质量责任，确保指令落地无偏差。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配置了包括各类专用理化检测设备与仪器,确保产品整个生产过程受到严格质量控制。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）实现更深层次的客户沟通和交流，从简单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一味满足客户需求转变至双向友好互惠沟通，合理提出诉求，实现共赢。</w:t>
            </w:r>
          </w:p>
          <w:p w14:paraId="792BFBD2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5、公司在研发投入上的整体思路是什么？</w:t>
            </w:r>
          </w:p>
          <w:p w14:paraId="6BF162D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答：研发创新是公司保持长期发展动力的核心支撑，公司一直坚持稳定的研发投入策略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2025年前三季度公司研发费用</w:t>
            </w:r>
            <w:bookmarkStart w:id="4" w:name="_GoBack"/>
            <w:bookmarkEnd w:id="4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2.22亿元，相比于去年同期增加0.65亿元，公司</w:t>
            </w:r>
            <w:r>
              <w:rPr>
                <w:rFonts w:hint="eastAsia" w:ascii="宋体" w:hAnsi="宋体"/>
                <w:sz w:val="24"/>
                <w:szCs w:val="24"/>
              </w:rPr>
              <w:t>以市场需求为导向，兼顾现有业务的技术升级和未来新兴领域的布局需求，重点向与主营业务紧密相关的核心技术、关键工艺以及新产品研发倾斜，同时也会关注行业前沿技术的发展趋势，开展前瞻性技术研究，为公司的持续发展储备技术力量。</w:t>
            </w:r>
          </w:p>
        </w:tc>
      </w:tr>
      <w:tr w14:paraId="2EAACC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D0B8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附件清单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16774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无</w:t>
            </w:r>
          </w:p>
        </w:tc>
      </w:tr>
      <w:tr w14:paraId="635BE6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D7BB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4FB7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否</w:t>
            </w:r>
          </w:p>
        </w:tc>
      </w:tr>
      <w:tr w14:paraId="3FD0D7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9F0C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其他说明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76F98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以上如涉及对行业的预测、公司发展战略规划等相关内容，不能视作公司或公司管理层对行业及公司发展的承诺和保证；敬请广大投资者注意投资风险。</w:t>
            </w:r>
          </w:p>
        </w:tc>
      </w:tr>
      <w:tr w14:paraId="47B75A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8866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8A74E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2025年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</w:tbl>
    <w:p w14:paraId="55824310">
      <w:pPr>
        <w:rPr>
          <w:rFonts w:hint="eastAsia" w:cs="宋体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7610"/>
    </w:sdtPr>
    <w:sdtContent>
      <w:sdt>
        <w:sdtPr>
          <w:id w:val="171357217"/>
          <w:showingPlcHdr/>
        </w:sdtPr>
        <w:sdtContent>
          <w:p w14:paraId="3BA26BE7">
            <w:pPr>
              <w:pStyle w:val="4"/>
              <w:ind w:firstLine="354"/>
              <w:jc w:val="center"/>
            </w:pPr>
            <w:r>
              <w:t xml:space="preserve">     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MWJhZjZlN2JjZTk3NGEyOWY1MzVmNzY1NWIwNTIifQ=="/>
  </w:docVars>
  <w:rsids>
    <w:rsidRoot w:val="00D171FD"/>
    <w:rsid w:val="00000482"/>
    <w:rsid w:val="000028A0"/>
    <w:rsid w:val="0000751C"/>
    <w:rsid w:val="000104BD"/>
    <w:rsid w:val="00010EBC"/>
    <w:rsid w:val="00011A92"/>
    <w:rsid w:val="00021A51"/>
    <w:rsid w:val="00021BE3"/>
    <w:rsid w:val="00021F2A"/>
    <w:rsid w:val="00024848"/>
    <w:rsid w:val="00034291"/>
    <w:rsid w:val="00034FCA"/>
    <w:rsid w:val="00040A27"/>
    <w:rsid w:val="0004199F"/>
    <w:rsid w:val="00045978"/>
    <w:rsid w:val="00057D7B"/>
    <w:rsid w:val="0006222D"/>
    <w:rsid w:val="00071560"/>
    <w:rsid w:val="00080B96"/>
    <w:rsid w:val="000961F3"/>
    <w:rsid w:val="000A5959"/>
    <w:rsid w:val="000B225E"/>
    <w:rsid w:val="000C56B6"/>
    <w:rsid w:val="000C7A85"/>
    <w:rsid w:val="000D3562"/>
    <w:rsid w:val="000F50D6"/>
    <w:rsid w:val="00102202"/>
    <w:rsid w:val="00110FCA"/>
    <w:rsid w:val="001118CE"/>
    <w:rsid w:val="00115A29"/>
    <w:rsid w:val="0013006E"/>
    <w:rsid w:val="00132EC5"/>
    <w:rsid w:val="00135133"/>
    <w:rsid w:val="00135784"/>
    <w:rsid w:val="00147291"/>
    <w:rsid w:val="00151C80"/>
    <w:rsid w:val="00153509"/>
    <w:rsid w:val="001616F2"/>
    <w:rsid w:val="00161F9F"/>
    <w:rsid w:val="001704A8"/>
    <w:rsid w:val="00187709"/>
    <w:rsid w:val="001933BB"/>
    <w:rsid w:val="00196504"/>
    <w:rsid w:val="001A0C99"/>
    <w:rsid w:val="001A56AE"/>
    <w:rsid w:val="001A6A93"/>
    <w:rsid w:val="001B19B2"/>
    <w:rsid w:val="001B1BAC"/>
    <w:rsid w:val="001B1D7A"/>
    <w:rsid w:val="001B2416"/>
    <w:rsid w:val="001B471B"/>
    <w:rsid w:val="001B5C91"/>
    <w:rsid w:val="001C1ED1"/>
    <w:rsid w:val="001D0890"/>
    <w:rsid w:val="001D4B04"/>
    <w:rsid w:val="001D61E8"/>
    <w:rsid w:val="001E5196"/>
    <w:rsid w:val="001E7C62"/>
    <w:rsid w:val="001F69F4"/>
    <w:rsid w:val="001F6A13"/>
    <w:rsid w:val="00200D3E"/>
    <w:rsid w:val="00203780"/>
    <w:rsid w:val="00205276"/>
    <w:rsid w:val="002209CC"/>
    <w:rsid w:val="00222B17"/>
    <w:rsid w:val="00230C9E"/>
    <w:rsid w:val="0024047B"/>
    <w:rsid w:val="00246B52"/>
    <w:rsid w:val="002511D1"/>
    <w:rsid w:val="00251A9F"/>
    <w:rsid w:val="002528DF"/>
    <w:rsid w:val="00253A51"/>
    <w:rsid w:val="002621A7"/>
    <w:rsid w:val="002625B6"/>
    <w:rsid w:val="00262C7A"/>
    <w:rsid w:val="00263DE3"/>
    <w:rsid w:val="00270997"/>
    <w:rsid w:val="00280DDA"/>
    <w:rsid w:val="00282CC8"/>
    <w:rsid w:val="00293226"/>
    <w:rsid w:val="002975C3"/>
    <w:rsid w:val="002A4FB9"/>
    <w:rsid w:val="002C1B3C"/>
    <w:rsid w:val="002D1274"/>
    <w:rsid w:val="002E4277"/>
    <w:rsid w:val="002E5FA2"/>
    <w:rsid w:val="002E74BA"/>
    <w:rsid w:val="002F49DC"/>
    <w:rsid w:val="00304099"/>
    <w:rsid w:val="0031471F"/>
    <w:rsid w:val="00327B6F"/>
    <w:rsid w:val="003325B9"/>
    <w:rsid w:val="00333147"/>
    <w:rsid w:val="00334213"/>
    <w:rsid w:val="003402EC"/>
    <w:rsid w:val="003507D0"/>
    <w:rsid w:val="00350E19"/>
    <w:rsid w:val="00351C23"/>
    <w:rsid w:val="00351CF5"/>
    <w:rsid w:val="00354218"/>
    <w:rsid w:val="0035481F"/>
    <w:rsid w:val="00355D10"/>
    <w:rsid w:val="003620B2"/>
    <w:rsid w:val="0036461C"/>
    <w:rsid w:val="00366D3D"/>
    <w:rsid w:val="003700F7"/>
    <w:rsid w:val="00370F98"/>
    <w:rsid w:val="003774B3"/>
    <w:rsid w:val="00383ABE"/>
    <w:rsid w:val="00393B9B"/>
    <w:rsid w:val="00395938"/>
    <w:rsid w:val="003A3248"/>
    <w:rsid w:val="003A38FF"/>
    <w:rsid w:val="003B1ABD"/>
    <w:rsid w:val="003B25DE"/>
    <w:rsid w:val="003B2CC1"/>
    <w:rsid w:val="003B6807"/>
    <w:rsid w:val="003C2F64"/>
    <w:rsid w:val="003E0E12"/>
    <w:rsid w:val="003E372A"/>
    <w:rsid w:val="003E3D45"/>
    <w:rsid w:val="003E478D"/>
    <w:rsid w:val="003F6C3F"/>
    <w:rsid w:val="0040530D"/>
    <w:rsid w:val="00410470"/>
    <w:rsid w:val="004119F0"/>
    <w:rsid w:val="004171AC"/>
    <w:rsid w:val="00417C81"/>
    <w:rsid w:val="00417D3E"/>
    <w:rsid w:val="00417FC7"/>
    <w:rsid w:val="004230FD"/>
    <w:rsid w:val="004269BC"/>
    <w:rsid w:val="00427320"/>
    <w:rsid w:val="004275DD"/>
    <w:rsid w:val="00434C4B"/>
    <w:rsid w:val="004352AD"/>
    <w:rsid w:val="00436F8F"/>
    <w:rsid w:val="00440372"/>
    <w:rsid w:val="00445767"/>
    <w:rsid w:val="0046326D"/>
    <w:rsid w:val="00472716"/>
    <w:rsid w:val="0049535D"/>
    <w:rsid w:val="004B6F64"/>
    <w:rsid w:val="004C3916"/>
    <w:rsid w:val="004C5432"/>
    <w:rsid w:val="004C6124"/>
    <w:rsid w:val="004C618B"/>
    <w:rsid w:val="004D3097"/>
    <w:rsid w:val="004E4D24"/>
    <w:rsid w:val="004F5BD3"/>
    <w:rsid w:val="00500F2B"/>
    <w:rsid w:val="00501A98"/>
    <w:rsid w:val="005069EF"/>
    <w:rsid w:val="005078B0"/>
    <w:rsid w:val="00507B19"/>
    <w:rsid w:val="005105C9"/>
    <w:rsid w:val="00512CE3"/>
    <w:rsid w:val="005139C3"/>
    <w:rsid w:val="0051517C"/>
    <w:rsid w:val="005157E2"/>
    <w:rsid w:val="00534040"/>
    <w:rsid w:val="00543DA6"/>
    <w:rsid w:val="00546CA5"/>
    <w:rsid w:val="005568BA"/>
    <w:rsid w:val="005639AF"/>
    <w:rsid w:val="00565B8E"/>
    <w:rsid w:val="00571999"/>
    <w:rsid w:val="005732AB"/>
    <w:rsid w:val="005737BA"/>
    <w:rsid w:val="00577454"/>
    <w:rsid w:val="00585048"/>
    <w:rsid w:val="0059157F"/>
    <w:rsid w:val="005931E0"/>
    <w:rsid w:val="005A378E"/>
    <w:rsid w:val="005A670F"/>
    <w:rsid w:val="005C0391"/>
    <w:rsid w:val="005C220B"/>
    <w:rsid w:val="005C79E4"/>
    <w:rsid w:val="005D6E21"/>
    <w:rsid w:val="005E28C9"/>
    <w:rsid w:val="005E5B52"/>
    <w:rsid w:val="005E7992"/>
    <w:rsid w:val="005F4600"/>
    <w:rsid w:val="005F5070"/>
    <w:rsid w:val="005F7DA4"/>
    <w:rsid w:val="00601CA2"/>
    <w:rsid w:val="006062AF"/>
    <w:rsid w:val="00610019"/>
    <w:rsid w:val="0061727A"/>
    <w:rsid w:val="0063453F"/>
    <w:rsid w:val="00635401"/>
    <w:rsid w:val="00646A91"/>
    <w:rsid w:val="00647A73"/>
    <w:rsid w:val="0065201F"/>
    <w:rsid w:val="00657161"/>
    <w:rsid w:val="00662AC9"/>
    <w:rsid w:val="0067471D"/>
    <w:rsid w:val="00676260"/>
    <w:rsid w:val="0068344E"/>
    <w:rsid w:val="00683753"/>
    <w:rsid w:val="0068706F"/>
    <w:rsid w:val="00690357"/>
    <w:rsid w:val="006919E7"/>
    <w:rsid w:val="00693052"/>
    <w:rsid w:val="006944F5"/>
    <w:rsid w:val="006A16C6"/>
    <w:rsid w:val="006A6EAE"/>
    <w:rsid w:val="006E120B"/>
    <w:rsid w:val="006F0087"/>
    <w:rsid w:val="006F0DB0"/>
    <w:rsid w:val="006F50A7"/>
    <w:rsid w:val="00701013"/>
    <w:rsid w:val="00702F51"/>
    <w:rsid w:val="0070721F"/>
    <w:rsid w:val="00707D35"/>
    <w:rsid w:val="0071039F"/>
    <w:rsid w:val="0071464D"/>
    <w:rsid w:val="00721D97"/>
    <w:rsid w:val="00727047"/>
    <w:rsid w:val="00731798"/>
    <w:rsid w:val="007366DB"/>
    <w:rsid w:val="00740CFD"/>
    <w:rsid w:val="007520F4"/>
    <w:rsid w:val="00761780"/>
    <w:rsid w:val="00763FDF"/>
    <w:rsid w:val="0076432E"/>
    <w:rsid w:val="00776429"/>
    <w:rsid w:val="0078167A"/>
    <w:rsid w:val="007878B6"/>
    <w:rsid w:val="00790021"/>
    <w:rsid w:val="00794C8C"/>
    <w:rsid w:val="00797E38"/>
    <w:rsid w:val="007A1FCE"/>
    <w:rsid w:val="007B00BF"/>
    <w:rsid w:val="007B5FD4"/>
    <w:rsid w:val="007B6782"/>
    <w:rsid w:val="007B7E66"/>
    <w:rsid w:val="007C6DF0"/>
    <w:rsid w:val="007D33AB"/>
    <w:rsid w:val="007D3680"/>
    <w:rsid w:val="007E0BE8"/>
    <w:rsid w:val="007E5E59"/>
    <w:rsid w:val="00801C0C"/>
    <w:rsid w:val="00802203"/>
    <w:rsid w:val="00806D14"/>
    <w:rsid w:val="00807029"/>
    <w:rsid w:val="0080777E"/>
    <w:rsid w:val="00807F85"/>
    <w:rsid w:val="008216A5"/>
    <w:rsid w:val="00826ADE"/>
    <w:rsid w:val="008308BB"/>
    <w:rsid w:val="00831DC3"/>
    <w:rsid w:val="00834381"/>
    <w:rsid w:val="00841138"/>
    <w:rsid w:val="00846951"/>
    <w:rsid w:val="00861488"/>
    <w:rsid w:val="008624C8"/>
    <w:rsid w:val="00873F90"/>
    <w:rsid w:val="00874B0D"/>
    <w:rsid w:val="0087713C"/>
    <w:rsid w:val="0089259B"/>
    <w:rsid w:val="00895D7E"/>
    <w:rsid w:val="008A6DF0"/>
    <w:rsid w:val="008C0C5C"/>
    <w:rsid w:val="008C0F84"/>
    <w:rsid w:val="008C13F3"/>
    <w:rsid w:val="008D24C2"/>
    <w:rsid w:val="008E5413"/>
    <w:rsid w:val="008E615D"/>
    <w:rsid w:val="008F14E0"/>
    <w:rsid w:val="009033B2"/>
    <w:rsid w:val="009056E0"/>
    <w:rsid w:val="00906ECA"/>
    <w:rsid w:val="0091071B"/>
    <w:rsid w:val="00910FAD"/>
    <w:rsid w:val="00911022"/>
    <w:rsid w:val="00911825"/>
    <w:rsid w:val="00921893"/>
    <w:rsid w:val="00927C61"/>
    <w:rsid w:val="009313B4"/>
    <w:rsid w:val="00947A3E"/>
    <w:rsid w:val="00950266"/>
    <w:rsid w:val="0095671B"/>
    <w:rsid w:val="0096309E"/>
    <w:rsid w:val="00964CAE"/>
    <w:rsid w:val="009666B0"/>
    <w:rsid w:val="00972071"/>
    <w:rsid w:val="0098060A"/>
    <w:rsid w:val="0098111D"/>
    <w:rsid w:val="00981159"/>
    <w:rsid w:val="00987778"/>
    <w:rsid w:val="00995E0F"/>
    <w:rsid w:val="009B57CD"/>
    <w:rsid w:val="009D342F"/>
    <w:rsid w:val="009D5B90"/>
    <w:rsid w:val="009E7448"/>
    <w:rsid w:val="009F2412"/>
    <w:rsid w:val="009F2517"/>
    <w:rsid w:val="009F5C3D"/>
    <w:rsid w:val="00A014DB"/>
    <w:rsid w:val="00A05724"/>
    <w:rsid w:val="00A17435"/>
    <w:rsid w:val="00A30F76"/>
    <w:rsid w:val="00A345FB"/>
    <w:rsid w:val="00A35C68"/>
    <w:rsid w:val="00A36FB2"/>
    <w:rsid w:val="00A44DB6"/>
    <w:rsid w:val="00A46E92"/>
    <w:rsid w:val="00A5222C"/>
    <w:rsid w:val="00A545A6"/>
    <w:rsid w:val="00A56BCF"/>
    <w:rsid w:val="00A57DD2"/>
    <w:rsid w:val="00A6077D"/>
    <w:rsid w:val="00A620F8"/>
    <w:rsid w:val="00A65F80"/>
    <w:rsid w:val="00A66809"/>
    <w:rsid w:val="00A753BC"/>
    <w:rsid w:val="00A76C95"/>
    <w:rsid w:val="00A7701E"/>
    <w:rsid w:val="00A94DB3"/>
    <w:rsid w:val="00AA063A"/>
    <w:rsid w:val="00AA16C0"/>
    <w:rsid w:val="00AA4F32"/>
    <w:rsid w:val="00AA7A7B"/>
    <w:rsid w:val="00AB3B33"/>
    <w:rsid w:val="00AC0CAD"/>
    <w:rsid w:val="00AC1D9E"/>
    <w:rsid w:val="00AC3F79"/>
    <w:rsid w:val="00AE47AF"/>
    <w:rsid w:val="00AE5094"/>
    <w:rsid w:val="00AF5436"/>
    <w:rsid w:val="00B03FBB"/>
    <w:rsid w:val="00B0500C"/>
    <w:rsid w:val="00B0656E"/>
    <w:rsid w:val="00B065B1"/>
    <w:rsid w:val="00B1386E"/>
    <w:rsid w:val="00B2417C"/>
    <w:rsid w:val="00B24297"/>
    <w:rsid w:val="00B3174A"/>
    <w:rsid w:val="00B34B6C"/>
    <w:rsid w:val="00B36EFA"/>
    <w:rsid w:val="00B42072"/>
    <w:rsid w:val="00B4431C"/>
    <w:rsid w:val="00B44BFD"/>
    <w:rsid w:val="00B46566"/>
    <w:rsid w:val="00B5295D"/>
    <w:rsid w:val="00B56ACC"/>
    <w:rsid w:val="00B56F2A"/>
    <w:rsid w:val="00B608C9"/>
    <w:rsid w:val="00B60F49"/>
    <w:rsid w:val="00B61935"/>
    <w:rsid w:val="00B619E0"/>
    <w:rsid w:val="00B72704"/>
    <w:rsid w:val="00B74622"/>
    <w:rsid w:val="00B94846"/>
    <w:rsid w:val="00B95E2C"/>
    <w:rsid w:val="00B96CCE"/>
    <w:rsid w:val="00BA38D5"/>
    <w:rsid w:val="00BA54C7"/>
    <w:rsid w:val="00BB024F"/>
    <w:rsid w:val="00BB189C"/>
    <w:rsid w:val="00BB30B9"/>
    <w:rsid w:val="00BB6C79"/>
    <w:rsid w:val="00BC7E93"/>
    <w:rsid w:val="00BD0EA6"/>
    <w:rsid w:val="00BD790C"/>
    <w:rsid w:val="00BE4810"/>
    <w:rsid w:val="00BE5F12"/>
    <w:rsid w:val="00BF4B9E"/>
    <w:rsid w:val="00C029C3"/>
    <w:rsid w:val="00C051E8"/>
    <w:rsid w:val="00C07418"/>
    <w:rsid w:val="00C154A5"/>
    <w:rsid w:val="00C167D9"/>
    <w:rsid w:val="00C17792"/>
    <w:rsid w:val="00C17D69"/>
    <w:rsid w:val="00C20537"/>
    <w:rsid w:val="00C22A7E"/>
    <w:rsid w:val="00C31BDF"/>
    <w:rsid w:val="00C36E4C"/>
    <w:rsid w:val="00C37C29"/>
    <w:rsid w:val="00C51535"/>
    <w:rsid w:val="00C71A35"/>
    <w:rsid w:val="00C823E3"/>
    <w:rsid w:val="00C82E8E"/>
    <w:rsid w:val="00C93538"/>
    <w:rsid w:val="00C93EA5"/>
    <w:rsid w:val="00C962E1"/>
    <w:rsid w:val="00C973E5"/>
    <w:rsid w:val="00C97795"/>
    <w:rsid w:val="00CA0A1A"/>
    <w:rsid w:val="00CA0CDD"/>
    <w:rsid w:val="00CA314C"/>
    <w:rsid w:val="00CA707D"/>
    <w:rsid w:val="00CB5FE1"/>
    <w:rsid w:val="00CB6742"/>
    <w:rsid w:val="00CD353A"/>
    <w:rsid w:val="00CD55DF"/>
    <w:rsid w:val="00CD5784"/>
    <w:rsid w:val="00CD63D7"/>
    <w:rsid w:val="00CE3343"/>
    <w:rsid w:val="00CF1EA6"/>
    <w:rsid w:val="00CF4EBE"/>
    <w:rsid w:val="00D0632A"/>
    <w:rsid w:val="00D07DC7"/>
    <w:rsid w:val="00D14C52"/>
    <w:rsid w:val="00D14C98"/>
    <w:rsid w:val="00D16E2F"/>
    <w:rsid w:val="00D171FD"/>
    <w:rsid w:val="00D17A1D"/>
    <w:rsid w:val="00D25991"/>
    <w:rsid w:val="00D25BEB"/>
    <w:rsid w:val="00D33B96"/>
    <w:rsid w:val="00D33E10"/>
    <w:rsid w:val="00D40A86"/>
    <w:rsid w:val="00D40E0F"/>
    <w:rsid w:val="00D40E18"/>
    <w:rsid w:val="00D439C3"/>
    <w:rsid w:val="00D44DB6"/>
    <w:rsid w:val="00D51829"/>
    <w:rsid w:val="00D52268"/>
    <w:rsid w:val="00D610C2"/>
    <w:rsid w:val="00D625D9"/>
    <w:rsid w:val="00D6488F"/>
    <w:rsid w:val="00D66E99"/>
    <w:rsid w:val="00D7258C"/>
    <w:rsid w:val="00D82005"/>
    <w:rsid w:val="00D867A9"/>
    <w:rsid w:val="00D90617"/>
    <w:rsid w:val="00D95276"/>
    <w:rsid w:val="00D9571A"/>
    <w:rsid w:val="00DA29D4"/>
    <w:rsid w:val="00DB090F"/>
    <w:rsid w:val="00DC2D0B"/>
    <w:rsid w:val="00DD369D"/>
    <w:rsid w:val="00DD6DB4"/>
    <w:rsid w:val="00DF3900"/>
    <w:rsid w:val="00E02202"/>
    <w:rsid w:val="00E03362"/>
    <w:rsid w:val="00E1675D"/>
    <w:rsid w:val="00E36E64"/>
    <w:rsid w:val="00E45445"/>
    <w:rsid w:val="00E4590A"/>
    <w:rsid w:val="00E46B4C"/>
    <w:rsid w:val="00E47A88"/>
    <w:rsid w:val="00E50452"/>
    <w:rsid w:val="00E52929"/>
    <w:rsid w:val="00E559D5"/>
    <w:rsid w:val="00E567BB"/>
    <w:rsid w:val="00E6350B"/>
    <w:rsid w:val="00E63F85"/>
    <w:rsid w:val="00E84F58"/>
    <w:rsid w:val="00E92EF8"/>
    <w:rsid w:val="00E939F7"/>
    <w:rsid w:val="00E9777E"/>
    <w:rsid w:val="00EA075B"/>
    <w:rsid w:val="00EA459D"/>
    <w:rsid w:val="00EB776F"/>
    <w:rsid w:val="00EC04C1"/>
    <w:rsid w:val="00EC12DA"/>
    <w:rsid w:val="00EC49DF"/>
    <w:rsid w:val="00ED098A"/>
    <w:rsid w:val="00ED13FE"/>
    <w:rsid w:val="00ED583B"/>
    <w:rsid w:val="00ED70FF"/>
    <w:rsid w:val="00ED7469"/>
    <w:rsid w:val="00EF00F6"/>
    <w:rsid w:val="00EF0758"/>
    <w:rsid w:val="00EF72C7"/>
    <w:rsid w:val="00F00746"/>
    <w:rsid w:val="00F008B4"/>
    <w:rsid w:val="00F0535D"/>
    <w:rsid w:val="00F05E2A"/>
    <w:rsid w:val="00F11A3E"/>
    <w:rsid w:val="00F14988"/>
    <w:rsid w:val="00F22F4A"/>
    <w:rsid w:val="00F27FE8"/>
    <w:rsid w:val="00F34C41"/>
    <w:rsid w:val="00F447F6"/>
    <w:rsid w:val="00F454FA"/>
    <w:rsid w:val="00F47584"/>
    <w:rsid w:val="00F623FF"/>
    <w:rsid w:val="00F72230"/>
    <w:rsid w:val="00F727D3"/>
    <w:rsid w:val="00F74E48"/>
    <w:rsid w:val="00F759E5"/>
    <w:rsid w:val="00F77838"/>
    <w:rsid w:val="00F77BA4"/>
    <w:rsid w:val="00F83950"/>
    <w:rsid w:val="00F86B2F"/>
    <w:rsid w:val="00F9334D"/>
    <w:rsid w:val="00F94F12"/>
    <w:rsid w:val="00F94F1B"/>
    <w:rsid w:val="00F9573A"/>
    <w:rsid w:val="00FB68DA"/>
    <w:rsid w:val="00FD0FBF"/>
    <w:rsid w:val="00FD6DE2"/>
    <w:rsid w:val="00FE70AE"/>
    <w:rsid w:val="00FF20C3"/>
    <w:rsid w:val="00FF4D61"/>
    <w:rsid w:val="01442E48"/>
    <w:rsid w:val="032D773E"/>
    <w:rsid w:val="08D20FCE"/>
    <w:rsid w:val="0A71688E"/>
    <w:rsid w:val="15F448B4"/>
    <w:rsid w:val="16610B7D"/>
    <w:rsid w:val="16895CFA"/>
    <w:rsid w:val="1B6B3B7D"/>
    <w:rsid w:val="1C3B25BA"/>
    <w:rsid w:val="1EC75D72"/>
    <w:rsid w:val="20CF7A83"/>
    <w:rsid w:val="23E21E1F"/>
    <w:rsid w:val="24A15381"/>
    <w:rsid w:val="297F0EEF"/>
    <w:rsid w:val="2CC91ACB"/>
    <w:rsid w:val="323E7DF9"/>
    <w:rsid w:val="32E75EA6"/>
    <w:rsid w:val="334C7D7C"/>
    <w:rsid w:val="345D626E"/>
    <w:rsid w:val="350E29C1"/>
    <w:rsid w:val="380A7921"/>
    <w:rsid w:val="395F3AB7"/>
    <w:rsid w:val="3B692F67"/>
    <w:rsid w:val="438C21E0"/>
    <w:rsid w:val="44962420"/>
    <w:rsid w:val="498303A7"/>
    <w:rsid w:val="4DD94A09"/>
    <w:rsid w:val="4E52768D"/>
    <w:rsid w:val="4E5D2189"/>
    <w:rsid w:val="4FF705C0"/>
    <w:rsid w:val="562E2218"/>
    <w:rsid w:val="5C6F640C"/>
    <w:rsid w:val="659B0A53"/>
    <w:rsid w:val="690A65E6"/>
    <w:rsid w:val="6B985F2F"/>
    <w:rsid w:val="6C896D9A"/>
    <w:rsid w:val="6D8747CE"/>
    <w:rsid w:val="6F2F210F"/>
    <w:rsid w:val="728F36EF"/>
    <w:rsid w:val="757E2C96"/>
    <w:rsid w:val="78CF0C7A"/>
    <w:rsid w:val="7ED23D1E"/>
    <w:rsid w:val="7F0D33DB"/>
    <w:rsid w:val="7F182BC0"/>
    <w:rsid w:val="7F1A3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批注文字 字符"/>
    <w:basedOn w:val="9"/>
    <w:link w:val="2"/>
    <w:semiHidden/>
    <w:qFormat/>
    <w:uiPriority w:val="99"/>
  </w:style>
  <w:style w:type="character" w:customStyle="1" w:styleId="20">
    <w:name w:val="批注主题 字符"/>
    <w:basedOn w:val="19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DB03-6E4F-4003-BBE0-1FB075ECC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1224</Words>
  <Characters>1352</Characters>
  <Lines>9</Lines>
  <Paragraphs>2</Paragraphs>
  <TotalTime>14</TotalTime>
  <ScaleCrop>false</ScaleCrop>
  <LinksUpToDate>false</LinksUpToDate>
  <CharactersWithSpaces>1435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2025-07-30T07:18:00Z</dcterms:created>
  <dc:creator>吴优</dc:creator>
  <cp:lastModifiedBy>CHEN</cp:lastModifiedBy>
  <cp:lastPrinted>2025-07-01T08:00:00Z</cp:lastPrinted>
  <dcterms:modified xsi:type="dcterms:W3CDTF">2025-12-01T08:55:36Z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6675243790F74FC0975E66E9D9C98E4F_13</vt:lpwstr>
  </property>
  <property fmtid="{D5CDD505-2E9C-101B-9397-08002B2CF9AE}" pid="4" name="KSOTemplateDocerSaveRecord">
    <vt:lpwstr>eyJoZGlkIjoiNDUwYTU5MmY0NzM2ZDk4N2Q1NjM2MjhjOTRjZTQxMDkiLCJ1c2VySWQiOiI0MTM1MTkwNzUifQ==</vt:lpwstr>
  </property>
</Properties>
</file>