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8231" w14:textId="01D61C1F" w:rsidR="00AF1270" w:rsidRPr="00184BB1" w:rsidRDefault="003409BB" w:rsidP="00184BB1">
      <w:pPr>
        <w:pStyle w:val="1"/>
        <w:jc w:val="center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</w:t>
      </w:r>
      <w:r w:rsidRPr="009B7515">
        <w:rPr>
          <w:rFonts w:ascii="Times New Roman" w:eastAsia="宋体" w:hAnsi="Times New Roman" w:cs="宋体" w:hint="eastAsia"/>
          <w:sz w:val="24"/>
          <w:szCs w:val="24"/>
          <w:lang w:val="en-US"/>
        </w:rPr>
        <w:t>603909</w:t>
      </w:r>
      <w:r w:rsidR="009B7515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       </w:t>
      </w:r>
      <w:r w:rsidR="004D5E96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</w:t>
      </w:r>
      <w:r w:rsidR="009B7515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                    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证券简称：建发合诚</w:t>
      </w:r>
    </w:p>
    <w:p w14:paraId="03958232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建发合诚工程咨询股份有限公司</w:t>
      </w:r>
    </w:p>
    <w:p w14:paraId="03958233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投资者关系活动记录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907"/>
      </w:tblGrid>
      <w:tr w:rsidR="00AF1270" w14:paraId="0395823A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3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907" w:type="dxa"/>
          </w:tcPr>
          <w:p w14:paraId="03958235" w14:textId="3E7EDE5E" w:rsidR="00AF1270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E315E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03958236" w14:textId="514858F6" w:rsidR="00AF127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315E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03958237" w14:textId="77777777" w:rsidR="00AF127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03958238" w14:textId="00EFF73B" w:rsidR="00AF127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0AB8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03958239" w14:textId="70A9DD34" w:rsidR="00AF127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7515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AF1270" w14:paraId="0395823D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3B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907" w:type="dxa"/>
            <w:vAlign w:val="center"/>
          </w:tcPr>
          <w:p w14:paraId="0395823C" w14:textId="00942EED" w:rsidR="00AF1270" w:rsidRDefault="003E315E">
            <w:pPr>
              <w:pStyle w:val="TableParagraph"/>
              <w:spacing w:beforeLines="30" w:before="72" w:afterLines="30" w:after="72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长江证券、</w:t>
            </w:r>
            <w:r w:rsidR="00A50D4D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光大理财、国泰海通、广发银行、中邮资管、鑫元基金、</w:t>
            </w:r>
            <w:r w:rsidR="00A50D4D" w:rsidRPr="00A50D4D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上海海楚资管</w:t>
            </w:r>
            <w:r w:rsidR="00A50D4D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、</w:t>
            </w:r>
            <w:r w:rsidR="00A50D4D" w:rsidRPr="00A50D4D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厦门农商银行</w:t>
            </w:r>
          </w:p>
        </w:tc>
      </w:tr>
      <w:tr w:rsidR="00AF1270" w14:paraId="03958240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3E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907" w:type="dxa"/>
            <w:vAlign w:val="center"/>
          </w:tcPr>
          <w:p w14:paraId="0395823F" w14:textId="4F7BD01E" w:rsidR="00AF1270" w:rsidRPr="009B7515" w:rsidRDefault="003409BB">
            <w:pPr>
              <w:spacing w:beforeLines="30" w:before="72" w:afterLines="30" w:after="72"/>
              <w:rPr>
                <w:rFonts w:ascii="Times New Roman" w:eastAsiaTheme="minorEastAsia" w:hAnsi="Times New Roman" w:cstheme="minorEastAsia"/>
                <w:sz w:val="24"/>
                <w:szCs w:val="24"/>
              </w:rPr>
            </w:pP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 w:rsidR="009B7515"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3E315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</w:t>
            </w:r>
            <w:r w:rsidR="009B7515"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  <w:r w:rsidR="003E315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-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</w:t>
            </w:r>
            <w:r w:rsidR="003E315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="00071E90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</w:t>
            </w:r>
          </w:p>
        </w:tc>
      </w:tr>
      <w:tr w:rsidR="00AF1270" w14:paraId="03958243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41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907" w:type="dxa"/>
            <w:vAlign w:val="center"/>
          </w:tcPr>
          <w:p w14:paraId="03958242" w14:textId="77EB21AB" w:rsidR="00AF1270" w:rsidRPr="00A50D4D" w:rsidRDefault="00A50D4D">
            <w:pPr>
              <w:pStyle w:val="TableParagraph"/>
              <w:spacing w:beforeLines="30" w:before="72" w:afterLines="30" w:after="7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厦门市湖里区枋钟路</w:t>
            </w: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2368</w:t>
            </w: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号金山财富广场</w:t>
            </w: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号楼</w:t>
            </w: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Pr="00A50D4D">
              <w:rPr>
                <w:rFonts w:ascii="Times New Roman" w:eastAsiaTheme="minorEastAsia" w:hAnsi="Times New Roman" w:cs="Times New Roman"/>
                <w:sz w:val="24"/>
                <w:szCs w:val="24"/>
              </w:rPr>
              <w:t>层会议室</w:t>
            </w:r>
          </w:p>
        </w:tc>
      </w:tr>
      <w:tr w:rsidR="00AF1270" w14:paraId="03958249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4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907" w:type="dxa"/>
            <w:vAlign w:val="center"/>
          </w:tcPr>
          <w:p w14:paraId="03958245" w14:textId="77E20EFC" w:rsidR="00AF1270" w:rsidRDefault="005672CA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董事兼</w:t>
            </w:r>
            <w:r w:rsidR="003409BB">
              <w:rPr>
                <w:rFonts w:ascii="宋体" w:eastAsia="宋体" w:hAnsi="宋体" w:cs="宋体"/>
                <w:sz w:val="24"/>
                <w:szCs w:val="24"/>
              </w:rPr>
              <w:t>总经理</w:t>
            </w:r>
            <w:r w:rsidR="00CD769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3409BB">
              <w:rPr>
                <w:rFonts w:ascii="宋体" w:eastAsia="宋体" w:hAnsi="宋体" w:cs="宋体"/>
                <w:sz w:val="24"/>
                <w:szCs w:val="24"/>
              </w:rPr>
              <w:t>黄和宾</w:t>
            </w:r>
          </w:p>
          <w:p w14:paraId="03958247" w14:textId="3665C48C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董事会秘</w:t>
            </w:r>
            <w:r w:rsidR="00B87B02">
              <w:rPr>
                <w:rFonts w:ascii="宋体" w:eastAsia="宋体" w:hAnsi="宋体" w:cs="宋体" w:hint="eastAsia"/>
                <w:sz w:val="24"/>
                <w:szCs w:val="24"/>
              </w:rPr>
              <w:t>书</w:t>
            </w:r>
            <w:r w:rsidR="00CD769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高玮琳</w:t>
            </w:r>
          </w:p>
          <w:p w14:paraId="03958248" w14:textId="7931F105" w:rsidR="00EF0890" w:rsidRDefault="003E315E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证券事务代表</w:t>
            </w:r>
            <w:r w:rsidR="00CD769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何璇</w:t>
            </w:r>
          </w:p>
        </w:tc>
      </w:tr>
      <w:tr w:rsidR="00AF1270" w14:paraId="0395825E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4A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</w:t>
            </w:r>
          </w:p>
          <w:p w14:paraId="0395824B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6907" w:type="dxa"/>
          </w:tcPr>
          <w:p w14:paraId="0395824C" w14:textId="4C0797EE" w:rsidR="00AF1270" w:rsidRDefault="003409BB" w:rsidP="004539C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EC39F4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公司前三季度业务增长情况较好，请问公司在福建、东北等地的建筑需求量有何种展望？</w:t>
            </w:r>
          </w:p>
          <w:p w14:paraId="2508BB6A" w14:textId="67308F38" w:rsidR="00EC39F4" w:rsidRPr="00B958C4" w:rsidRDefault="003409BB" w:rsidP="004539C4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32BF7">
              <w:rPr>
                <w:rFonts w:ascii="宋体" w:eastAsia="宋体" w:hAnsi="宋体" w:cs="宋体" w:hint="eastAsia"/>
                <w:sz w:val="24"/>
                <w:szCs w:val="24"/>
              </w:rPr>
              <w:t>公司前三季度</w:t>
            </w:r>
            <w:r w:rsidR="00C64E88">
              <w:rPr>
                <w:rFonts w:ascii="宋体" w:eastAsia="宋体" w:hAnsi="宋体" w:cs="宋体" w:hint="eastAsia"/>
                <w:sz w:val="24"/>
                <w:szCs w:val="24"/>
              </w:rPr>
              <w:t>除</w:t>
            </w:r>
            <w:r w:rsidR="00132BF7">
              <w:rPr>
                <w:rFonts w:ascii="宋体" w:eastAsia="宋体" w:hAnsi="宋体" w:cs="宋体" w:hint="eastAsia"/>
                <w:sz w:val="24"/>
                <w:szCs w:val="24"/>
              </w:rPr>
              <w:t>持续深耕福建、东北等优势区域</w:t>
            </w:r>
            <w:r w:rsidR="00C64E88">
              <w:rPr>
                <w:rFonts w:ascii="宋体" w:eastAsia="宋体" w:hAnsi="宋体" w:cs="宋体" w:hint="eastAsia"/>
                <w:sz w:val="24"/>
                <w:szCs w:val="24"/>
              </w:rPr>
              <w:t>外</w:t>
            </w:r>
            <w:r w:rsidR="00132BF7">
              <w:rPr>
                <w:rFonts w:ascii="宋体" w:eastAsia="宋体" w:hAnsi="宋体" w:cs="宋体" w:hint="eastAsia"/>
                <w:sz w:val="24"/>
                <w:szCs w:val="24"/>
              </w:rPr>
              <w:t>，同时</w:t>
            </w:r>
            <w:r w:rsidR="00A349AB">
              <w:rPr>
                <w:rFonts w:ascii="宋体" w:eastAsia="宋体" w:hAnsi="宋体" w:cs="宋体" w:hint="eastAsia"/>
                <w:sz w:val="24"/>
                <w:szCs w:val="24"/>
              </w:rPr>
              <w:t>紧跟控股股东拿地节奏，</w:t>
            </w:r>
            <w:r w:rsidR="00D21DBD">
              <w:rPr>
                <w:rFonts w:ascii="宋体" w:eastAsia="宋体" w:hAnsi="宋体" w:cs="宋体" w:hint="eastAsia"/>
                <w:sz w:val="24"/>
                <w:szCs w:val="24"/>
              </w:rPr>
              <w:t>积极承接控股股东深耕城市的相关业务。</w:t>
            </w:r>
            <w:r w:rsidR="00B958C4">
              <w:rPr>
                <w:rFonts w:ascii="宋体" w:eastAsia="宋体" w:hAnsi="宋体" w:cs="宋体" w:hint="eastAsia"/>
                <w:sz w:val="24"/>
                <w:szCs w:val="24"/>
              </w:rPr>
              <w:t>未来，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B958C4">
              <w:rPr>
                <w:rFonts w:ascii="宋体" w:eastAsia="宋体" w:hAnsi="宋体" w:cs="宋体" w:hint="eastAsia"/>
                <w:sz w:val="24"/>
                <w:szCs w:val="24"/>
              </w:rPr>
              <w:t>将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持续聚焦“工程咨询”与“工程施工”双主业，深耕新建与在役工程两大领域。</w:t>
            </w:r>
            <w:r w:rsidR="00B958C4">
              <w:rPr>
                <w:rFonts w:ascii="宋体" w:eastAsia="宋体" w:hAnsi="宋体" w:cs="宋体" w:hint="eastAsia"/>
                <w:sz w:val="24"/>
                <w:szCs w:val="24"/>
              </w:rPr>
              <w:t>在巩固优势区域的同时，依托与控股股东的业务协同加快</w:t>
            </w:r>
            <w:r w:rsidR="00433B5B">
              <w:rPr>
                <w:rFonts w:ascii="宋体" w:eastAsia="宋体" w:hAnsi="宋体" w:cs="宋体" w:hint="eastAsia"/>
                <w:sz w:val="24"/>
                <w:szCs w:val="24"/>
              </w:rPr>
              <w:t>杭州等</w:t>
            </w:r>
            <w:r w:rsidR="00B958C4">
              <w:rPr>
                <w:rFonts w:ascii="宋体" w:eastAsia="宋体" w:hAnsi="宋体" w:cs="宋体" w:hint="eastAsia"/>
                <w:sz w:val="24"/>
                <w:szCs w:val="24"/>
              </w:rPr>
              <w:t>核心城市资源投入与团队建设，</w:t>
            </w:r>
            <w:r w:rsidR="00C539F7">
              <w:rPr>
                <w:rFonts w:ascii="宋体" w:eastAsia="宋体" w:hAnsi="宋体" w:cs="宋体" w:hint="eastAsia"/>
                <w:sz w:val="24"/>
                <w:szCs w:val="24"/>
              </w:rPr>
              <w:t>推进</w:t>
            </w:r>
            <w:r w:rsidR="00183237">
              <w:rPr>
                <w:rFonts w:ascii="宋体" w:eastAsia="宋体" w:hAnsi="宋体" w:cs="宋体" w:hint="eastAsia"/>
                <w:sz w:val="24"/>
                <w:szCs w:val="24"/>
              </w:rPr>
              <w:t>深耕城市</w:t>
            </w:r>
            <w:r w:rsidR="00C539F7">
              <w:rPr>
                <w:rFonts w:ascii="宋体" w:eastAsia="宋体" w:hAnsi="宋体" w:cs="宋体" w:hint="eastAsia"/>
                <w:sz w:val="24"/>
                <w:szCs w:val="24"/>
              </w:rPr>
              <w:t>属地化</w:t>
            </w:r>
            <w:r w:rsidR="00183237">
              <w:rPr>
                <w:rFonts w:ascii="宋体" w:eastAsia="宋体" w:hAnsi="宋体" w:cs="宋体" w:hint="eastAsia"/>
                <w:sz w:val="24"/>
                <w:szCs w:val="24"/>
              </w:rPr>
              <w:t>经营的</w:t>
            </w:r>
            <w:r w:rsidR="00C539F7">
              <w:rPr>
                <w:rFonts w:ascii="宋体" w:eastAsia="宋体" w:hAnsi="宋体" w:cs="宋体" w:hint="eastAsia"/>
                <w:sz w:val="24"/>
                <w:szCs w:val="24"/>
              </w:rPr>
              <w:t>进程</w:t>
            </w:r>
            <w:r w:rsidR="00957D9E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C539F7">
              <w:rPr>
                <w:rFonts w:ascii="宋体" w:eastAsia="宋体" w:hAnsi="宋体" w:cs="宋体" w:hint="eastAsia"/>
                <w:sz w:val="24"/>
                <w:szCs w:val="24"/>
              </w:rPr>
              <w:t>同时</w:t>
            </w:r>
            <w:r w:rsidR="00B958C4">
              <w:rPr>
                <w:rFonts w:ascii="宋体" w:eastAsia="宋体" w:hAnsi="宋体" w:cs="宋体" w:hint="eastAsia"/>
                <w:sz w:val="24"/>
                <w:szCs w:val="24"/>
              </w:rPr>
              <w:t>积极响</w:t>
            </w:r>
            <w:r w:rsidR="00B958C4" w:rsidRPr="00B958C4">
              <w:rPr>
                <w:rFonts w:ascii="宋体" w:eastAsia="宋体" w:hAnsi="宋体" w:cs="宋体" w:hint="eastAsia"/>
                <w:sz w:val="24"/>
                <w:szCs w:val="24"/>
              </w:rPr>
              <w:t>应城市更新、韧性城市政策，重点打造“工程医院”核心品牌，积极</w:t>
            </w:r>
            <w:r w:rsidR="00025A58">
              <w:rPr>
                <w:rFonts w:ascii="宋体" w:eastAsia="宋体" w:hAnsi="宋体" w:cs="宋体" w:hint="eastAsia"/>
                <w:sz w:val="24"/>
                <w:szCs w:val="24"/>
              </w:rPr>
              <w:t>拓展在役工程相关</w:t>
            </w:r>
            <w:r w:rsidR="00B958C4" w:rsidRPr="00B958C4">
              <w:rPr>
                <w:rFonts w:ascii="宋体" w:eastAsia="宋体" w:hAnsi="宋体" w:cs="宋体" w:hint="eastAsia"/>
                <w:sz w:val="24"/>
                <w:szCs w:val="24"/>
              </w:rPr>
              <w:t>业务，提升</w:t>
            </w:r>
            <w:r w:rsidR="00025A58">
              <w:rPr>
                <w:rFonts w:ascii="宋体" w:eastAsia="宋体" w:hAnsi="宋体" w:cs="宋体" w:hint="eastAsia"/>
                <w:sz w:val="24"/>
                <w:szCs w:val="24"/>
              </w:rPr>
              <w:t>其</w:t>
            </w:r>
            <w:r w:rsidR="00B958C4" w:rsidRPr="00B958C4">
              <w:rPr>
                <w:rFonts w:ascii="宋体" w:eastAsia="宋体" w:hAnsi="宋体" w:cs="宋体" w:hint="eastAsia"/>
                <w:sz w:val="24"/>
                <w:szCs w:val="24"/>
              </w:rPr>
              <w:t>业务占比，</w:t>
            </w:r>
            <w:r w:rsidR="00B958C4">
              <w:rPr>
                <w:rFonts w:ascii="宋体" w:eastAsia="宋体" w:hAnsi="宋体" w:cs="宋体" w:hint="eastAsia"/>
                <w:sz w:val="24"/>
                <w:szCs w:val="24"/>
              </w:rPr>
              <w:t>进一步提升公司市场份额和盈利能力。</w:t>
            </w:r>
          </w:p>
          <w:p w14:paraId="0395824E" w14:textId="5D3D9BD3" w:rsidR="00AF1270" w:rsidRDefault="003409BB" w:rsidP="004539C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1042D1">
              <w:rPr>
                <w:rFonts w:ascii="宋体" w:eastAsia="宋体" w:hAnsi="宋体" w:cs="宋体" w:hint="eastAsia"/>
                <w:b/>
                <w:sz w:val="24"/>
                <w:szCs w:val="24"/>
              </w:rPr>
              <w:t>政府化债对公司应收账款会有什么改善？</w:t>
            </w:r>
          </w:p>
          <w:p w14:paraId="03B710A9" w14:textId="6677FE7A" w:rsidR="001042D1" w:rsidRDefault="003409BB" w:rsidP="004539C4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684071">
              <w:rPr>
                <w:rFonts w:ascii="宋体" w:eastAsia="宋体" w:hAnsi="宋体" w:cs="宋体" w:hint="eastAsia"/>
                <w:sz w:val="24"/>
                <w:szCs w:val="24"/>
              </w:rPr>
              <w:t>近年来，公司</w:t>
            </w:r>
            <w:r w:rsidR="00684071" w:rsidRPr="009B7515">
              <w:rPr>
                <w:rFonts w:ascii="宋体" w:eastAsia="宋体" w:hAnsi="宋体" w:cs="宋体" w:hint="eastAsia"/>
                <w:sz w:val="24"/>
                <w:szCs w:val="24"/>
              </w:rPr>
              <w:t>紧抓地方政府债务化解等国家政策机遇</w:t>
            </w:r>
            <w:r w:rsidR="00684071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D50263" w:rsidRPr="00D50263">
              <w:rPr>
                <w:rFonts w:ascii="宋体" w:eastAsia="宋体" w:hAnsi="宋体" w:cs="宋体" w:hint="eastAsia"/>
                <w:sz w:val="24"/>
                <w:szCs w:val="24"/>
              </w:rPr>
              <w:t>持续强化应收账款管理</w:t>
            </w:r>
            <w:r w:rsidR="00D50263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随着政府</w:t>
            </w:r>
            <w:r w:rsidR="0067397B">
              <w:rPr>
                <w:rFonts w:ascii="宋体" w:eastAsia="宋体" w:hAnsi="宋体" w:cs="宋体" w:hint="eastAsia"/>
                <w:sz w:val="24"/>
                <w:szCs w:val="24"/>
              </w:rPr>
              <w:t>化债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有序推进，公司部分存量项目的应收账款已纳入化债范围，</w:t>
            </w:r>
            <w:r w:rsidR="00D50263" w:rsidRPr="00D50263">
              <w:rPr>
                <w:rFonts w:ascii="宋体" w:eastAsia="宋体" w:hAnsi="宋体" w:cs="宋体" w:hint="eastAsia"/>
                <w:sz w:val="24"/>
                <w:szCs w:val="24"/>
              </w:rPr>
              <w:t>其中东北地区</w:t>
            </w:r>
            <w:r w:rsidR="0067397B">
              <w:rPr>
                <w:rFonts w:ascii="宋体" w:eastAsia="宋体" w:hAnsi="宋体" w:cs="宋体" w:hint="eastAsia"/>
                <w:sz w:val="24"/>
                <w:szCs w:val="24"/>
              </w:rPr>
              <w:t>设计</w:t>
            </w:r>
            <w:r w:rsidR="00D50263" w:rsidRPr="00D50263">
              <w:rPr>
                <w:rFonts w:ascii="宋体" w:eastAsia="宋体" w:hAnsi="宋体" w:cs="宋体" w:hint="eastAsia"/>
                <w:sz w:val="24"/>
                <w:szCs w:val="24"/>
              </w:rPr>
              <w:t>项目受益尤为</w:t>
            </w:r>
            <w:r w:rsidR="0067397B">
              <w:rPr>
                <w:rFonts w:ascii="宋体" w:eastAsia="宋体" w:hAnsi="宋体" w:cs="宋体" w:hint="eastAsia"/>
                <w:sz w:val="24"/>
                <w:szCs w:val="24"/>
              </w:rPr>
              <w:t>明显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。截至目前，公司已有多个项目受益于化债资金安排，对公司</w:t>
            </w:r>
            <w:r w:rsidR="001A693D">
              <w:rPr>
                <w:rFonts w:ascii="宋体" w:eastAsia="宋体" w:hAnsi="宋体" w:cs="宋体" w:hint="eastAsia"/>
                <w:sz w:val="24"/>
                <w:szCs w:val="24"/>
              </w:rPr>
              <w:t>现金流及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利润水平产生正面影响。</w:t>
            </w:r>
            <w:r w:rsidR="00D50263">
              <w:rPr>
                <w:rFonts w:ascii="宋体" w:eastAsia="宋体" w:hAnsi="宋体" w:cs="宋体" w:hint="eastAsia"/>
                <w:sz w:val="24"/>
                <w:szCs w:val="24"/>
              </w:rPr>
              <w:t>后续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，公司将持续</w:t>
            </w:r>
            <w:r w:rsidR="00D50263">
              <w:rPr>
                <w:rFonts w:ascii="宋体" w:eastAsia="宋体" w:hAnsi="宋体" w:cs="宋体" w:hint="eastAsia"/>
                <w:sz w:val="24"/>
                <w:szCs w:val="24"/>
              </w:rPr>
              <w:t>跟踪国家及地方后续政策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，通过多元化</w:t>
            </w:r>
            <w:r w:rsidR="00D50263">
              <w:rPr>
                <w:rFonts w:ascii="宋体" w:eastAsia="宋体" w:hAnsi="宋体" w:cs="宋体" w:hint="eastAsia"/>
                <w:sz w:val="24"/>
                <w:szCs w:val="24"/>
              </w:rPr>
              <w:t>手段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t>加快应收账款回收，进一步提升公司资</w:t>
            </w:r>
            <w:r w:rsidR="001042D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金使用效率和经营质量。</w:t>
            </w:r>
          </w:p>
          <w:p w14:paraId="03958250" w14:textId="2F0B248F" w:rsidR="00AF1270" w:rsidRDefault="003409BB" w:rsidP="004539C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4562E">
              <w:rPr>
                <w:rFonts w:ascii="宋体" w:eastAsia="宋体" w:hAnsi="宋体" w:cs="宋体" w:hint="eastAsia"/>
                <w:b/>
                <w:sz w:val="24"/>
                <w:szCs w:val="24"/>
              </w:rPr>
              <w:t>在“十五五”规划中出海是大势所趋，请问公司如何在出海方面与控股股东协同？</w:t>
            </w:r>
          </w:p>
          <w:p w14:paraId="03958251" w14:textId="4176E540" w:rsidR="00AF1270" w:rsidRDefault="003409BB" w:rsidP="004539C4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“十五五”期间，</w:t>
            </w:r>
            <w:r w:rsidR="00FE72A3" w:rsidRPr="00BD6782">
              <w:rPr>
                <w:rFonts w:ascii="宋体" w:eastAsia="宋体" w:hAnsi="宋体" w:cs="宋体" w:hint="eastAsia"/>
                <w:sz w:val="24"/>
                <w:szCs w:val="24"/>
              </w:rPr>
              <w:t>公司将</w:t>
            </w:r>
            <w:r w:rsidR="00947239">
              <w:rPr>
                <w:rFonts w:ascii="宋体" w:eastAsia="宋体" w:hAnsi="宋体" w:cs="宋体" w:hint="eastAsia"/>
                <w:sz w:val="24"/>
                <w:szCs w:val="24"/>
              </w:rPr>
              <w:t>继续</w:t>
            </w:r>
            <w:r w:rsidR="00FE72A3" w:rsidRPr="00BD6782">
              <w:rPr>
                <w:rFonts w:ascii="宋体" w:eastAsia="宋体" w:hAnsi="宋体" w:cs="宋体" w:hint="eastAsia"/>
                <w:sz w:val="24"/>
                <w:szCs w:val="24"/>
              </w:rPr>
              <w:t>秉持稳健经营的原则，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紧密对接国家高水平对外开放战略，</w:t>
            </w:r>
            <w:r w:rsidR="00812BEE">
              <w:rPr>
                <w:rFonts w:ascii="宋体" w:eastAsia="宋体" w:hAnsi="宋体" w:cs="宋体" w:hint="eastAsia"/>
                <w:sz w:val="24"/>
                <w:szCs w:val="24"/>
              </w:rPr>
              <w:t>一方</w:t>
            </w:r>
            <w:r w:rsidR="00FE72A3">
              <w:rPr>
                <w:rFonts w:ascii="宋体" w:eastAsia="宋体" w:hAnsi="宋体" w:cs="宋体" w:hint="eastAsia"/>
                <w:sz w:val="24"/>
                <w:szCs w:val="24"/>
              </w:rPr>
              <w:t>面</w:t>
            </w:r>
            <w:r w:rsidR="00C57693">
              <w:rPr>
                <w:rFonts w:ascii="宋体" w:eastAsia="宋体" w:hAnsi="宋体" w:cs="宋体" w:hint="eastAsia"/>
                <w:sz w:val="24"/>
                <w:szCs w:val="24"/>
              </w:rPr>
              <w:t>依托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控股股东的全球化资源与布局优势，深度融入其海外业务</w:t>
            </w:r>
            <w:r w:rsidR="009A6A37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="009A6A37" w:rsidRPr="009E242E">
              <w:rPr>
                <w:rFonts w:ascii="宋体" w:eastAsia="宋体" w:hAnsi="宋体" w:cs="宋体" w:hint="eastAsia"/>
                <w:sz w:val="24"/>
                <w:szCs w:val="24"/>
              </w:rPr>
              <w:t>工程</w:t>
            </w:r>
            <w:r w:rsidR="009A6A37">
              <w:rPr>
                <w:rFonts w:ascii="宋体" w:eastAsia="宋体" w:hAnsi="宋体" w:cs="宋体" w:hint="eastAsia"/>
                <w:sz w:val="24"/>
                <w:szCs w:val="24"/>
              </w:rPr>
              <w:t>建设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947239" w:rsidRPr="00BD6782">
              <w:rPr>
                <w:rFonts w:ascii="宋体" w:eastAsia="宋体" w:hAnsi="宋体" w:cs="宋体" w:hint="eastAsia"/>
                <w:sz w:val="24"/>
                <w:szCs w:val="24"/>
              </w:rPr>
              <w:t>在保持业务独立性的基础上</w:t>
            </w:r>
            <w:r w:rsidR="00947239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不断提升协同效能。</w:t>
            </w:r>
            <w:r w:rsidR="00947239">
              <w:rPr>
                <w:rFonts w:ascii="宋体" w:eastAsia="宋体" w:hAnsi="宋体" w:cs="宋体" w:hint="eastAsia"/>
                <w:sz w:val="24"/>
                <w:szCs w:val="24"/>
              </w:rPr>
              <w:t>另一方面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积极开拓其他央国企的海外业务合作，以稳健步伐推进</w:t>
            </w:r>
            <w:r w:rsidR="00947239">
              <w:rPr>
                <w:rFonts w:ascii="宋体" w:eastAsia="宋体" w:hAnsi="宋体" w:cs="宋体" w:hint="eastAsia"/>
                <w:sz w:val="24"/>
                <w:szCs w:val="24"/>
              </w:rPr>
              <w:t>出海业务</w:t>
            </w:r>
            <w:r w:rsidR="009E242E" w:rsidRPr="009E242E">
              <w:rPr>
                <w:rFonts w:ascii="宋体" w:eastAsia="宋体" w:hAnsi="宋体" w:cs="宋体" w:hint="eastAsia"/>
                <w:sz w:val="24"/>
                <w:szCs w:val="24"/>
              </w:rPr>
              <w:t>布局，为公司的长远发展与价值提升注入持续动力。</w:t>
            </w:r>
          </w:p>
          <w:p w14:paraId="03958252" w14:textId="2AE6E40D" w:rsidR="00AF1270" w:rsidRDefault="003409BB" w:rsidP="004539C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753493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请问公司在泰国项目回款情况如何？</w:t>
            </w:r>
          </w:p>
          <w:p w14:paraId="662D535B" w14:textId="7505E176" w:rsidR="00753493" w:rsidRDefault="003409BB" w:rsidP="004539C4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7C25E2">
              <w:rPr>
                <w:rFonts w:ascii="宋体" w:eastAsia="宋体" w:hAnsi="宋体" w:cs="宋体" w:hint="eastAsia"/>
                <w:sz w:val="24"/>
                <w:szCs w:val="24"/>
              </w:rPr>
              <w:t>目前，公司在泰国的项目</w:t>
            </w:r>
            <w:r w:rsidR="00432F57">
              <w:rPr>
                <w:rFonts w:ascii="宋体" w:eastAsia="宋体" w:hAnsi="宋体" w:cs="宋体" w:hint="eastAsia"/>
                <w:sz w:val="24"/>
                <w:szCs w:val="24"/>
              </w:rPr>
              <w:t>正</w:t>
            </w:r>
            <w:r w:rsidR="007C25E2">
              <w:rPr>
                <w:rFonts w:ascii="宋体" w:eastAsia="宋体" w:hAnsi="宋体" w:cs="宋体" w:hint="eastAsia"/>
                <w:sz w:val="24"/>
                <w:szCs w:val="24"/>
              </w:rPr>
              <w:t>有序推进中，项目回款均按合同约定节点足额支付，回款风险整体可控。</w:t>
            </w:r>
            <w:r w:rsidR="007F66ED" w:rsidRPr="007F66ED">
              <w:rPr>
                <w:rFonts w:ascii="宋体" w:eastAsia="宋体" w:hAnsi="宋体" w:cs="宋体" w:hint="eastAsia"/>
                <w:sz w:val="24"/>
                <w:szCs w:val="24"/>
              </w:rPr>
              <w:t>未来，公司将继续坚持审慎经营，持续加强海外项目风险管理，切实保障公司及全体股东的权益。</w:t>
            </w:r>
          </w:p>
          <w:p w14:paraId="03958254" w14:textId="20B9241E" w:rsidR="00AF1270" w:rsidRDefault="003409BB" w:rsidP="004539C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753493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公司是否有收并购计划？</w:t>
            </w:r>
          </w:p>
          <w:p w14:paraId="17E0B3CE" w14:textId="61A127CD" w:rsidR="00753493" w:rsidRDefault="003409BB" w:rsidP="00267CAB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0B706A">
              <w:rPr>
                <w:rFonts w:ascii="宋体" w:eastAsia="宋体" w:hAnsi="宋体" w:cs="宋体" w:hint="eastAsia"/>
                <w:sz w:val="24"/>
                <w:szCs w:val="24"/>
              </w:rPr>
              <w:t>并购一直是公司实现外延式发</w:t>
            </w:r>
            <w:r w:rsidR="00206511">
              <w:rPr>
                <w:rFonts w:ascii="宋体" w:eastAsia="宋体" w:hAnsi="宋体" w:cs="宋体" w:hint="eastAsia"/>
                <w:sz w:val="24"/>
                <w:szCs w:val="24"/>
              </w:rPr>
              <w:t>展、加速产业布局的重要手段之一。</w:t>
            </w:r>
            <w:r w:rsidR="001D5D65" w:rsidRPr="00333471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1D5D65">
              <w:rPr>
                <w:rFonts w:ascii="宋体" w:eastAsia="宋体" w:hAnsi="宋体" w:cs="宋体" w:hint="eastAsia"/>
                <w:sz w:val="24"/>
                <w:szCs w:val="24"/>
              </w:rPr>
              <w:t>在</w:t>
            </w:r>
            <w:r w:rsidR="00206511">
              <w:rPr>
                <w:rFonts w:ascii="宋体" w:eastAsia="宋体" w:hAnsi="宋体" w:cs="宋体" w:hint="eastAsia"/>
                <w:sz w:val="24"/>
                <w:szCs w:val="24"/>
              </w:rPr>
              <w:t>以往</w:t>
            </w:r>
            <w:r w:rsidR="00587E4C">
              <w:rPr>
                <w:rFonts w:ascii="宋体" w:eastAsia="宋体" w:hAnsi="宋体" w:cs="宋体" w:hint="eastAsia"/>
                <w:sz w:val="24"/>
                <w:szCs w:val="24"/>
              </w:rPr>
              <w:t>的并购</w:t>
            </w:r>
            <w:r w:rsidR="001D5D65">
              <w:rPr>
                <w:rFonts w:ascii="宋体" w:eastAsia="宋体" w:hAnsi="宋体" w:cs="宋体" w:hint="eastAsia"/>
                <w:sz w:val="24"/>
                <w:szCs w:val="24"/>
              </w:rPr>
              <w:t>中不断</w:t>
            </w:r>
            <w:r w:rsidR="00587E4C">
              <w:rPr>
                <w:rFonts w:ascii="宋体" w:eastAsia="宋体" w:hAnsi="宋体" w:cs="宋体" w:hint="eastAsia"/>
                <w:sz w:val="24"/>
                <w:szCs w:val="24"/>
              </w:rPr>
              <w:t>完善公司的产业链，增强了公司的</w:t>
            </w:r>
            <w:r w:rsidR="005B7104">
              <w:rPr>
                <w:rFonts w:ascii="宋体" w:eastAsia="宋体" w:hAnsi="宋体" w:cs="宋体" w:hint="eastAsia"/>
                <w:sz w:val="24"/>
                <w:szCs w:val="24"/>
              </w:rPr>
              <w:t>竞争力，</w:t>
            </w:r>
            <w:r w:rsidR="003A7F89">
              <w:rPr>
                <w:rFonts w:ascii="宋体" w:eastAsia="宋体" w:hAnsi="宋体" w:cs="宋体" w:hint="eastAsia"/>
                <w:sz w:val="24"/>
                <w:szCs w:val="24"/>
              </w:rPr>
              <w:t>未来，公司将</w:t>
            </w:r>
            <w:r w:rsidR="003A7F89" w:rsidRPr="00333471">
              <w:rPr>
                <w:rFonts w:ascii="宋体" w:eastAsia="宋体" w:hAnsi="宋体" w:cs="宋体" w:hint="eastAsia"/>
                <w:sz w:val="24"/>
                <w:szCs w:val="24"/>
              </w:rPr>
              <w:t>积极响应国家“做大做强上市公司”的监管导向，遵循《关于深化上市公司并购重组市场改革的意见》（“并购六条”）的相关规定</w:t>
            </w:r>
            <w:r w:rsidR="00D93332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753493" w:rsidRPr="00753493">
              <w:rPr>
                <w:rFonts w:ascii="宋体" w:eastAsia="宋体" w:hAnsi="宋体" w:cs="宋体" w:hint="eastAsia"/>
                <w:sz w:val="24"/>
                <w:szCs w:val="24"/>
              </w:rPr>
              <w:t>以工程主业为基础，</w:t>
            </w:r>
            <w:r w:rsidR="00AA15AA">
              <w:rPr>
                <w:rFonts w:ascii="宋体" w:eastAsia="宋体" w:hAnsi="宋体" w:cs="宋体" w:hint="eastAsia"/>
                <w:sz w:val="24"/>
                <w:szCs w:val="24"/>
              </w:rPr>
              <w:t>强化</w:t>
            </w:r>
            <w:r w:rsidR="00AF5CAD">
              <w:rPr>
                <w:rFonts w:ascii="宋体" w:eastAsia="宋体" w:hAnsi="宋体" w:cs="宋体" w:hint="eastAsia"/>
                <w:sz w:val="24"/>
                <w:szCs w:val="24"/>
              </w:rPr>
              <w:t>内生增长的同时，</w:t>
            </w:r>
            <w:r w:rsidR="00641525" w:rsidRPr="00641525">
              <w:rPr>
                <w:rFonts w:ascii="宋体" w:eastAsia="宋体" w:hAnsi="宋体" w:cs="宋体"/>
                <w:sz w:val="24"/>
                <w:szCs w:val="24"/>
              </w:rPr>
              <w:t>沿“产业链延展”与“价值链补强”两大方向</w:t>
            </w:r>
            <w:r w:rsidR="00964A5B">
              <w:rPr>
                <w:rFonts w:ascii="宋体" w:eastAsia="宋体" w:hAnsi="宋体" w:cs="宋体" w:hint="eastAsia"/>
                <w:sz w:val="24"/>
                <w:szCs w:val="24"/>
              </w:rPr>
              <w:t>推进并购</w:t>
            </w:r>
            <w:r w:rsidR="00267CAB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5E6EF9">
              <w:rPr>
                <w:rFonts w:ascii="宋体" w:eastAsia="宋体" w:hAnsi="宋体" w:cs="宋体" w:hint="eastAsia"/>
                <w:sz w:val="24"/>
                <w:szCs w:val="24"/>
              </w:rPr>
              <w:t>审慎选择标的</w:t>
            </w:r>
            <w:r w:rsidR="00753493" w:rsidRPr="00753493">
              <w:rPr>
                <w:rFonts w:ascii="宋体" w:eastAsia="宋体" w:hAnsi="宋体" w:cs="宋体" w:hint="eastAsia"/>
                <w:sz w:val="24"/>
                <w:szCs w:val="24"/>
              </w:rPr>
              <w:t>进一步完善工程全产业链布局，</w:t>
            </w:r>
            <w:r w:rsidR="001E4011">
              <w:rPr>
                <w:rFonts w:ascii="宋体" w:eastAsia="宋体" w:hAnsi="宋体" w:cs="宋体" w:hint="eastAsia"/>
                <w:sz w:val="24"/>
                <w:szCs w:val="24"/>
              </w:rPr>
              <w:t>推动公司持续、健康、稳定发展</w:t>
            </w:r>
            <w:r w:rsidR="005138CC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702EB6">
              <w:rPr>
                <w:rFonts w:ascii="宋体" w:eastAsia="宋体" w:hAnsi="宋体" w:cs="宋体" w:hint="eastAsia"/>
                <w:sz w:val="24"/>
                <w:szCs w:val="24"/>
              </w:rPr>
              <w:t>致力于</w:t>
            </w:r>
            <w:r w:rsidR="00333349">
              <w:rPr>
                <w:rFonts w:ascii="宋体" w:eastAsia="宋体" w:hAnsi="宋体" w:cs="宋体" w:hint="eastAsia"/>
                <w:sz w:val="24"/>
                <w:szCs w:val="24"/>
              </w:rPr>
              <w:t>打造</w:t>
            </w:r>
            <w:r w:rsidR="00753493" w:rsidRPr="00753493">
              <w:rPr>
                <w:rFonts w:ascii="宋体" w:eastAsia="宋体" w:hAnsi="宋体" w:cs="宋体" w:hint="eastAsia"/>
                <w:sz w:val="24"/>
                <w:szCs w:val="24"/>
              </w:rPr>
              <w:t>成为国内领先的工程全周期服务品牌。</w:t>
            </w:r>
          </w:p>
          <w:p w14:paraId="225EACA5" w14:textId="16D3AE07" w:rsidR="00753493" w:rsidRDefault="00753493" w:rsidP="004539C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公司未来是否有发债的计划？</w:t>
            </w:r>
          </w:p>
          <w:p w14:paraId="0395825D" w14:textId="28A0AE45" w:rsidR="00753493" w:rsidRPr="00DA7090" w:rsidRDefault="00753493" w:rsidP="004539C4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DA7090" w:rsidRPr="00DA7090">
              <w:rPr>
                <w:rFonts w:ascii="宋体" w:eastAsia="宋体" w:hAnsi="宋体" w:cs="宋体" w:hint="eastAsia"/>
                <w:sz w:val="24"/>
                <w:szCs w:val="24"/>
              </w:rPr>
              <w:t>公司始终将稳健经营和可持续发展置于首位，以保障公司业务发展需求、优化资本结构、控制财务风险为基本原则。未来，公司将结合整体发展战略、市场环境、资金需求及债务结构等因素进行综合研判。如有涉及发债等具体的重大融资计划，公司将严格按照上海证券交易所及相关法律法规的规定，及时履行信息披露义务，敬请关注公司发布的公告。</w:t>
            </w:r>
          </w:p>
        </w:tc>
      </w:tr>
      <w:tr w:rsidR="00AF1270" w14:paraId="03958262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0395825F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</w:t>
            </w:r>
          </w:p>
          <w:p w14:paraId="03958260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应披露重大信息的说明</w:t>
            </w:r>
          </w:p>
        </w:tc>
        <w:tc>
          <w:tcPr>
            <w:tcW w:w="6907" w:type="dxa"/>
            <w:vAlign w:val="center"/>
          </w:tcPr>
          <w:p w14:paraId="03958261" w14:textId="77777777" w:rsidR="00AF1270" w:rsidRDefault="003409BB">
            <w:pPr>
              <w:pStyle w:val="TableParagrap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本次活动不涉及未公开披露的重大信息。</w:t>
            </w:r>
          </w:p>
        </w:tc>
      </w:tr>
      <w:tr w:rsidR="009B7515" w14:paraId="5B68E851" w14:textId="77777777" w:rsidTr="00184BB1">
        <w:trPr>
          <w:trHeight w:val="397"/>
          <w:jc w:val="center"/>
        </w:trPr>
        <w:tc>
          <w:tcPr>
            <w:tcW w:w="2727" w:type="dxa"/>
            <w:vAlign w:val="center"/>
          </w:tcPr>
          <w:p w14:paraId="7B8D1298" w14:textId="3EDB76DA" w:rsidR="009B7515" w:rsidRPr="009B7515" w:rsidRDefault="009B7515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B7515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907" w:type="dxa"/>
            <w:vAlign w:val="center"/>
          </w:tcPr>
          <w:p w14:paraId="6E0F48CE" w14:textId="44A5BDF7" w:rsidR="009B7515" w:rsidRDefault="009B7515">
            <w:pPr>
              <w:pStyle w:val="TableParagrap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B7515">
              <w:rPr>
                <w:rFonts w:ascii="Times New Roman" w:eastAsiaTheme="minorEastAsia" w:hAnsi="Times New Roman" w:cs="宋体"/>
                <w:sz w:val="24"/>
                <w:szCs w:val="24"/>
              </w:rPr>
              <w:t>2025</w:t>
            </w:r>
            <w:r w:rsidRPr="009B7515"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 w:rsidRPr="009B7515">
              <w:rPr>
                <w:rFonts w:ascii="Times New Roman" w:eastAsiaTheme="minorEastAsia" w:hAnsi="Times New Roman" w:cs="宋体"/>
                <w:sz w:val="24"/>
                <w:szCs w:val="24"/>
              </w:rPr>
              <w:t>11</w:t>
            </w:r>
            <w:r w:rsidRPr="009B7515">
              <w:rPr>
                <w:rFonts w:asciiTheme="minorEastAsia" w:eastAsiaTheme="minorEastAsia" w:hAnsiTheme="minorEastAsia" w:cs="宋体"/>
                <w:sz w:val="24"/>
                <w:szCs w:val="24"/>
              </w:rPr>
              <w:t>月</w:t>
            </w:r>
            <w:r w:rsidR="00EC39F4">
              <w:rPr>
                <w:rFonts w:ascii="Times New Roman" w:eastAsiaTheme="minorEastAsia" w:hAnsi="Times New Roman" w:cs="宋体" w:hint="eastAsia"/>
                <w:sz w:val="24"/>
                <w:szCs w:val="24"/>
              </w:rPr>
              <w:t>13</w:t>
            </w:r>
            <w:r w:rsidRPr="009B7515">
              <w:rPr>
                <w:rFonts w:asciiTheme="minorEastAsia" w:eastAsiaTheme="minorEastAsia" w:hAnsiTheme="minorEastAsia" w:cs="宋体"/>
                <w:sz w:val="24"/>
                <w:szCs w:val="24"/>
              </w:rPr>
              <w:t>日</w:t>
            </w:r>
          </w:p>
        </w:tc>
      </w:tr>
      <w:tr w:rsidR="00AF1270" w14:paraId="03958264" w14:textId="77777777" w:rsidTr="00184BB1">
        <w:trPr>
          <w:trHeight w:val="397"/>
          <w:jc w:val="center"/>
        </w:trPr>
        <w:tc>
          <w:tcPr>
            <w:tcW w:w="9634" w:type="dxa"/>
            <w:gridSpan w:val="2"/>
            <w:vAlign w:val="center"/>
          </w:tcPr>
          <w:p w14:paraId="03958263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风险提示</w:t>
            </w:r>
          </w:p>
        </w:tc>
      </w:tr>
      <w:tr w:rsidR="00AF1270" w14:paraId="03958266" w14:textId="77777777" w:rsidTr="00184BB1">
        <w:trPr>
          <w:trHeight w:val="397"/>
          <w:jc w:val="center"/>
        </w:trPr>
        <w:tc>
          <w:tcPr>
            <w:tcW w:w="9634" w:type="dxa"/>
            <w:gridSpan w:val="2"/>
            <w:vAlign w:val="center"/>
          </w:tcPr>
          <w:p w14:paraId="03958265" w14:textId="77777777" w:rsidR="00AF1270" w:rsidRDefault="003409BB" w:rsidP="003409BB">
            <w:pPr>
              <w:pStyle w:val="TableParagraph"/>
              <w:spacing w:beforeLines="30" w:before="72" w:line="30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以上如涉及对行业的预测、公司发展战略规划等相关内容，不能视作公司或管理层对行业、公司发展或业绩的承诺和保证，敬请广大投资者注意投资风险。</w:t>
            </w:r>
          </w:p>
        </w:tc>
      </w:tr>
    </w:tbl>
    <w:p w14:paraId="0395826A" w14:textId="77777777" w:rsidR="00AF1270" w:rsidRDefault="00AF1270">
      <w:pPr>
        <w:rPr>
          <w:rFonts w:ascii="宋体" w:eastAsia="宋体" w:hAnsi="宋体" w:cs="宋体" w:hint="eastAsia"/>
          <w:sz w:val="28"/>
          <w:szCs w:val="36"/>
        </w:rPr>
      </w:pPr>
    </w:p>
    <w:sectPr w:rsidR="00AF1270" w:rsidSect="00184BB1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470A" w14:textId="77777777" w:rsidR="001C2673" w:rsidRDefault="001C2673" w:rsidP="00B87B02">
      <w:pPr>
        <w:rPr>
          <w:rFonts w:hint="eastAsia"/>
        </w:rPr>
      </w:pPr>
      <w:r>
        <w:separator/>
      </w:r>
    </w:p>
  </w:endnote>
  <w:endnote w:type="continuationSeparator" w:id="0">
    <w:p w14:paraId="3AF367E8" w14:textId="77777777" w:rsidR="001C2673" w:rsidRDefault="001C2673" w:rsidP="00B87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0A2D" w14:textId="77777777" w:rsidR="001C2673" w:rsidRDefault="001C2673" w:rsidP="00B87B02">
      <w:pPr>
        <w:rPr>
          <w:rFonts w:hint="eastAsia"/>
        </w:rPr>
      </w:pPr>
      <w:r>
        <w:separator/>
      </w:r>
    </w:p>
  </w:footnote>
  <w:footnote w:type="continuationSeparator" w:id="0">
    <w:p w14:paraId="24C8B9E5" w14:textId="77777777" w:rsidR="001C2673" w:rsidRDefault="001C2673" w:rsidP="00B87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MDdmNDdlZDNjN2QxZDI1MmM0M2M2ZDBhZjU4NDkifQ=="/>
  </w:docVars>
  <w:rsids>
    <w:rsidRoot w:val="00301D32"/>
    <w:rsid w:val="00025A58"/>
    <w:rsid w:val="00026CC3"/>
    <w:rsid w:val="00036089"/>
    <w:rsid w:val="0004362A"/>
    <w:rsid w:val="00053CFA"/>
    <w:rsid w:val="00057699"/>
    <w:rsid w:val="000633EC"/>
    <w:rsid w:val="00063804"/>
    <w:rsid w:val="000665A2"/>
    <w:rsid w:val="00071D52"/>
    <w:rsid w:val="00071E90"/>
    <w:rsid w:val="000877AB"/>
    <w:rsid w:val="000B41ED"/>
    <w:rsid w:val="000B706A"/>
    <w:rsid w:val="000B7C08"/>
    <w:rsid w:val="000D12CF"/>
    <w:rsid w:val="000D2D88"/>
    <w:rsid w:val="000D6EFB"/>
    <w:rsid w:val="000E4B20"/>
    <w:rsid w:val="000F2FF2"/>
    <w:rsid w:val="001042D1"/>
    <w:rsid w:val="0011418F"/>
    <w:rsid w:val="00124CC0"/>
    <w:rsid w:val="00130412"/>
    <w:rsid w:val="00132BF7"/>
    <w:rsid w:val="00172C24"/>
    <w:rsid w:val="00183237"/>
    <w:rsid w:val="00184BB1"/>
    <w:rsid w:val="001A221F"/>
    <w:rsid w:val="001A693D"/>
    <w:rsid w:val="001C2673"/>
    <w:rsid w:val="001D5D65"/>
    <w:rsid w:val="001E4011"/>
    <w:rsid w:val="001E59D1"/>
    <w:rsid w:val="001E5EA4"/>
    <w:rsid w:val="001F58B2"/>
    <w:rsid w:val="002042A7"/>
    <w:rsid w:val="00205911"/>
    <w:rsid w:val="00205CD6"/>
    <w:rsid w:val="00206511"/>
    <w:rsid w:val="0021064B"/>
    <w:rsid w:val="002146AD"/>
    <w:rsid w:val="00263B1C"/>
    <w:rsid w:val="00267CAB"/>
    <w:rsid w:val="00275CB6"/>
    <w:rsid w:val="002800B5"/>
    <w:rsid w:val="00280E7A"/>
    <w:rsid w:val="00286356"/>
    <w:rsid w:val="00295B29"/>
    <w:rsid w:val="002D4073"/>
    <w:rsid w:val="002E7098"/>
    <w:rsid w:val="00301D32"/>
    <w:rsid w:val="00333349"/>
    <w:rsid w:val="00333471"/>
    <w:rsid w:val="003409BB"/>
    <w:rsid w:val="00366FAD"/>
    <w:rsid w:val="0037105B"/>
    <w:rsid w:val="003975BA"/>
    <w:rsid w:val="003A74E6"/>
    <w:rsid w:val="003A7F89"/>
    <w:rsid w:val="003B73DD"/>
    <w:rsid w:val="003C5840"/>
    <w:rsid w:val="003D011C"/>
    <w:rsid w:val="003E315E"/>
    <w:rsid w:val="003F6FF1"/>
    <w:rsid w:val="00406DB6"/>
    <w:rsid w:val="0040731E"/>
    <w:rsid w:val="004108C7"/>
    <w:rsid w:val="00412DC2"/>
    <w:rsid w:val="00416EF7"/>
    <w:rsid w:val="00432F57"/>
    <w:rsid w:val="00433B5B"/>
    <w:rsid w:val="00440041"/>
    <w:rsid w:val="004435D5"/>
    <w:rsid w:val="00451268"/>
    <w:rsid w:val="004515AD"/>
    <w:rsid w:val="00451857"/>
    <w:rsid w:val="00453516"/>
    <w:rsid w:val="004539C4"/>
    <w:rsid w:val="00457548"/>
    <w:rsid w:val="00470DB2"/>
    <w:rsid w:val="00482344"/>
    <w:rsid w:val="004925E7"/>
    <w:rsid w:val="00495B11"/>
    <w:rsid w:val="004D5E96"/>
    <w:rsid w:val="004F6FF3"/>
    <w:rsid w:val="005138CC"/>
    <w:rsid w:val="005279DE"/>
    <w:rsid w:val="005672CA"/>
    <w:rsid w:val="00571B49"/>
    <w:rsid w:val="005743AE"/>
    <w:rsid w:val="00587E4C"/>
    <w:rsid w:val="005A7714"/>
    <w:rsid w:val="005B7104"/>
    <w:rsid w:val="005D1222"/>
    <w:rsid w:val="005D64CA"/>
    <w:rsid w:val="005E5717"/>
    <w:rsid w:val="005E6DB2"/>
    <w:rsid w:val="005E6EF9"/>
    <w:rsid w:val="005F4094"/>
    <w:rsid w:val="006129B7"/>
    <w:rsid w:val="0061433E"/>
    <w:rsid w:val="006259C3"/>
    <w:rsid w:val="0062751D"/>
    <w:rsid w:val="006354AA"/>
    <w:rsid w:val="00641525"/>
    <w:rsid w:val="0064562E"/>
    <w:rsid w:val="006477A1"/>
    <w:rsid w:val="00661AFA"/>
    <w:rsid w:val="006722AD"/>
    <w:rsid w:val="006726BF"/>
    <w:rsid w:val="0067397B"/>
    <w:rsid w:val="00677B77"/>
    <w:rsid w:val="00684071"/>
    <w:rsid w:val="0068718A"/>
    <w:rsid w:val="006A2739"/>
    <w:rsid w:val="006B5C95"/>
    <w:rsid w:val="006E14B0"/>
    <w:rsid w:val="006F0108"/>
    <w:rsid w:val="00702EB6"/>
    <w:rsid w:val="00704AE6"/>
    <w:rsid w:val="007153A2"/>
    <w:rsid w:val="00724A68"/>
    <w:rsid w:val="007271BF"/>
    <w:rsid w:val="00730DD3"/>
    <w:rsid w:val="00732DC4"/>
    <w:rsid w:val="00733224"/>
    <w:rsid w:val="00753493"/>
    <w:rsid w:val="00764128"/>
    <w:rsid w:val="007824B8"/>
    <w:rsid w:val="007910DD"/>
    <w:rsid w:val="007A3EC1"/>
    <w:rsid w:val="007B3368"/>
    <w:rsid w:val="007C25E2"/>
    <w:rsid w:val="007C71E9"/>
    <w:rsid w:val="007D0A69"/>
    <w:rsid w:val="007D6DC4"/>
    <w:rsid w:val="007E442E"/>
    <w:rsid w:val="007F66ED"/>
    <w:rsid w:val="00812BEE"/>
    <w:rsid w:val="00822613"/>
    <w:rsid w:val="00853463"/>
    <w:rsid w:val="00893F25"/>
    <w:rsid w:val="00895035"/>
    <w:rsid w:val="008B1BCA"/>
    <w:rsid w:val="008B2B14"/>
    <w:rsid w:val="008C6AED"/>
    <w:rsid w:val="008C7604"/>
    <w:rsid w:val="008E1B27"/>
    <w:rsid w:val="008F5317"/>
    <w:rsid w:val="00903379"/>
    <w:rsid w:val="00906975"/>
    <w:rsid w:val="00917F0B"/>
    <w:rsid w:val="00917F8B"/>
    <w:rsid w:val="00947239"/>
    <w:rsid w:val="00957D9E"/>
    <w:rsid w:val="00960964"/>
    <w:rsid w:val="00964A5B"/>
    <w:rsid w:val="00965E4D"/>
    <w:rsid w:val="009A6A37"/>
    <w:rsid w:val="009B1D5C"/>
    <w:rsid w:val="009B7515"/>
    <w:rsid w:val="009C2E31"/>
    <w:rsid w:val="009E1955"/>
    <w:rsid w:val="009E242E"/>
    <w:rsid w:val="009F120D"/>
    <w:rsid w:val="00A349AB"/>
    <w:rsid w:val="00A433EA"/>
    <w:rsid w:val="00A50D4D"/>
    <w:rsid w:val="00A527AA"/>
    <w:rsid w:val="00A5684D"/>
    <w:rsid w:val="00A60AB8"/>
    <w:rsid w:val="00A75C61"/>
    <w:rsid w:val="00A9601B"/>
    <w:rsid w:val="00A96529"/>
    <w:rsid w:val="00AA15AA"/>
    <w:rsid w:val="00AB362C"/>
    <w:rsid w:val="00AD100E"/>
    <w:rsid w:val="00AE1E36"/>
    <w:rsid w:val="00AF1270"/>
    <w:rsid w:val="00AF18D1"/>
    <w:rsid w:val="00AF5CAD"/>
    <w:rsid w:val="00AF74AA"/>
    <w:rsid w:val="00B03C2F"/>
    <w:rsid w:val="00B124D6"/>
    <w:rsid w:val="00B15064"/>
    <w:rsid w:val="00B15C3F"/>
    <w:rsid w:val="00B340A3"/>
    <w:rsid w:val="00B410F5"/>
    <w:rsid w:val="00B6280C"/>
    <w:rsid w:val="00B671A4"/>
    <w:rsid w:val="00B72CD4"/>
    <w:rsid w:val="00B85B00"/>
    <w:rsid w:val="00B87B02"/>
    <w:rsid w:val="00B958C4"/>
    <w:rsid w:val="00B96F27"/>
    <w:rsid w:val="00BD6782"/>
    <w:rsid w:val="00BE075D"/>
    <w:rsid w:val="00BF132F"/>
    <w:rsid w:val="00C13878"/>
    <w:rsid w:val="00C2608D"/>
    <w:rsid w:val="00C539F7"/>
    <w:rsid w:val="00C57693"/>
    <w:rsid w:val="00C64E88"/>
    <w:rsid w:val="00C94247"/>
    <w:rsid w:val="00CA1705"/>
    <w:rsid w:val="00CC1D51"/>
    <w:rsid w:val="00CD31EA"/>
    <w:rsid w:val="00CD7699"/>
    <w:rsid w:val="00CE1A54"/>
    <w:rsid w:val="00CF5FB6"/>
    <w:rsid w:val="00D02518"/>
    <w:rsid w:val="00D0304D"/>
    <w:rsid w:val="00D17454"/>
    <w:rsid w:val="00D20A9F"/>
    <w:rsid w:val="00D21DBD"/>
    <w:rsid w:val="00D33FBC"/>
    <w:rsid w:val="00D50263"/>
    <w:rsid w:val="00D7535C"/>
    <w:rsid w:val="00D76302"/>
    <w:rsid w:val="00D842E9"/>
    <w:rsid w:val="00D93332"/>
    <w:rsid w:val="00DA3C29"/>
    <w:rsid w:val="00DA5CE2"/>
    <w:rsid w:val="00DA7090"/>
    <w:rsid w:val="00DC73E3"/>
    <w:rsid w:val="00DE10E8"/>
    <w:rsid w:val="00E16FDA"/>
    <w:rsid w:val="00E33777"/>
    <w:rsid w:val="00E35F58"/>
    <w:rsid w:val="00E45BD9"/>
    <w:rsid w:val="00E66FFC"/>
    <w:rsid w:val="00E759D6"/>
    <w:rsid w:val="00E84A8C"/>
    <w:rsid w:val="00E976DE"/>
    <w:rsid w:val="00EC0F83"/>
    <w:rsid w:val="00EC39F4"/>
    <w:rsid w:val="00ED46CA"/>
    <w:rsid w:val="00EE3187"/>
    <w:rsid w:val="00EF0890"/>
    <w:rsid w:val="00EF499B"/>
    <w:rsid w:val="00F14977"/>
    <w:rsid w:val="00F4559E"/>
    <w:rsid w:val="00F566C3"/>
    <w:rsid w:val="00F64C62"/>
    <w:rsid w:val="00F80FB9"/>
    <w:rsid w:val="00FA2D19"/>
    <w:rsid w:val="00FB4A08"/>
    <w:rsid w:val="00FC0C2A"/>
    <w:rsid w:val="00FD7F8E"/>
    <w:rsid w:val="00FE19BF"/>
    <w:rsid w:val="00FE72A3"/>
    <w:rsid w:val="00FF11E4"/>
    <w:rsid w:val="04B072D4"/>
    <w:rsid w:val="04B14FFF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9C4B28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522F77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BB96AA0"/>
    <w:rsid w:val="6CC24AB5"/>
    <w:rsid w:val="6D9271B2"/>
    <w:rsid w:val="6E0307C8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A15089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58230"/>
  <w15:docId w15:val="{AD52BCC3-D706-4594-AA6D-D309D32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unhideWhenUsed/>
    <w:rsid w:val="00433B5B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董事会办公室</cp:lastModifiedBy>
  <cp:revision>106</cp:revision>
  <dcterms:created xsi:type="dcterms:W3CDTF">2022-04-12T06:10:00Z</dcterms:created>
  <dcterms:modified xsi:type="dcterms:W3CDTF">2025-12-02T05:44:00Z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