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31CD">
      <w:pPr>
        <w:pStyle w:val="4"/>
        <w:spacing w:before="1" w:line="480" w:lineRule="exact"/>
        <w:ind w:left="0" w:right="453" w:firstLine="241" w:firstLineChars="100"/>
        <w:rPr>
          <w:rFonts w:hint="eastAsia"/>
          <w:b/>
          <w:lang w:val="en-US"/>
        </w:rPr>
      </w:pPr>
      <w:r>
        <w:rPr>
          <w:b/>
        </w:rPr>
        <w:t>证券代码：</w:t>
      </w:r>
      <w:r>
        <w:rPr>
          <w:rFonts w:ascii="Times New Roman" w:eastAsia="Times New Roman"/>
          <w:b/>
        </w:rPr>
        <w:t>6</w:t>
      </w:r>
      <w:r>
        <w:rPr>
          <w:rFonts w:hint="eastAsia" w:ascii="Times New Roman"/>
          <w:b/>
          <w:lang w:val="en-US"/>
        </w:rPr>
        <w:t>03477</w:t>
      </w:r>
      <w:r>
        <w:rPr>
          <w:rFonts w:ascii="Times New Roman" w:eastAsia="等线"/>
          <w:b/>
        </w:rPr>
        <w:t xml:space="preserve">                             </w:t>
      </w:r>
      <w:r>
        <w:rPr>
          <w:b/>
        </w:rPr>
        <w:t>证券简称：</w:t>
      </w:r>
      <w:r>
        <w:rPr>
          <w:rFonts w:hint="eastAsia"/>
          <w:b/>
          <w:lang w:val="en-US"/>
        </w:rPr>
        <w:t>巨星农牧</w:t>
      </w:r>
    </w:p>
    <w:p w14:paraId="68790492">
      <w:pPr>
        <w:pStyle w:val="4"/>
        <w:spacing w:before="1" w:line="480" w:lineRule="exact"/>
        <w:ind w:left="0" w:right="453" w:firstLine="241" w:firstLineChars="100"/>
        <w:rPr>
          <w:rFonts w:hint="eastAsia"/>
          <w:b/>
          <w:lang w:val="en-US"/>
        </w:rPr>
      </w:pPr>
      <w:r>
        <w:rPr>
          <w:rFonts w:hint="eastAsia"/>
          <w:b/>
          <w:lang w:val="en-US"/>
        </w:rPr>
        <w:t>债券代码：</w:t>
      </w:r>
      <w:r>
        <w:rPr>
          <w:rFonts w:hint="eastAsia" w:ascii="Times New Roman"/>
          <w:b/>
          <w:lang w:val="en-US"/>
        </w:rPr>
        <w:t>113648</w:t>
      </w:r>
      <w:r>
        <w:rPr>
          <w:rFonts w:hint="eastAsia"/>
          <w:b/>
          <w:lang w:val="en-US"/>
        </w:rPr>
        <w:t xml:space="preserve">                             债券简称：巨星转债</w:t>
      </w:r>
    </w:p>
    <w:p w14:paraId="0FE832AB">
      <w:pPr>
        <w:pStyle w:val="4"/>
        <w:spacing w:before="1" w:line="480" w:lineRule="exact"/>
        <w:ind w:left="0" w:right="453"/>
        <w:rPr>
          <w:rFonts w:hint="eastAsia"/>
          <w:b/>
        </w:rPr>
      </w:pPr>
    </w:p>
    <w:p w14:paraId="6D8D412D">
      <w:pPr>
        <w:pStyle w:val="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pPr>
        <w:pStyle w:val="4"/>
        <w:spacing w:before="1" w:line="480" w:lineRule="exact"/>
        <w:ind w:left="0" w:right="453"/>
        <w:jc w:val="center"/>
        <w:rPr>
          <w:rFonts w:hint="eastAsia"/>
          <w:b/>
          <w:bCs/>
          <w:sz w:val="36"/>
          <w:szCs w:val="36"/>
        </w:rPr>
      </w:pPr>
      <w:r>
        <w:rPr>
          <w:b/>
          <w:bCs/>
          <w:sz w:val="36"/>
          <w:szCs w:val="36"/>
        </w:rPr>
        <w:t>投资者关系活动记录表</w:t>
      </w:r>
    </w:p>
    <w:p w14:paraId="682830B8">
      <w:pPr>
        <w:tabs>
          <w:tab w:val="left" w:pos="6306"/>
        </w:tabs>
        <w:spacing w:before="74" w:line="480" w:lineRule="exact"/>
        <w:rPr>
          <w:rFonts w:hint="eastAsia" w:eastAsia="等线"/>
          <w:b/>
          <w:bCs/>
          <w:sz w:val="21"/>
          <w:szCs w:val="21"/>
        </w:rPr>
      </w:pPr>
    </w:p>
    <w:tbl>
      <w:tblPr>
        <w:tblStyle w:val="9"/>
        <w:tblW w:w="661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560"/>
        <w:gridCol w:w="2532"/>
        <w:gridCol w:w="3326"/>
        <w:gridCol w:w="2616"/>
      </w:tblGrid>
      <w:tr w14:paraId="312E9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1" w:hRule="atLeast"/>
          <w:jc w:val="center"/>
        </w:trPr>
        <w:tc>
          <w:tcPr>
            <w:tcW w:w="1160" w:type="pct"/>
            <w:tcBorders>
              <w:bottom w:val="single" w:color="000000" w:sz="6" w:space="0"/>
              <w:right w:val="single" w:color="000000" w:sz="6" w:space="0"/>
            </w:tcBorders>
            <w:vAlign w:val="center"/>
          </w:tcPr>
          <w:p w14:paraId="0790969D">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投资者关系活动类别</w:t>
            </w:r>
          </w:p>
        </w:tc>
        <w:tc>
          <w:tcPr>
            <w:tcW w:w="1147" w:type="pct"/>
            <w:tcBorders>
              <w:left w:val="single" w:color="000000" w:sz="6" w:space="0"/>
              <w:bottom w:val="single" w:color="000000" w:sz="6" w:space="0"/>
              <w:right w:val="nil"/>
            </w:tcBorders>
          </w:tcPr>
          <w:p w14:paraId="654753DA">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r>
              <w:rPr>
                <w:sz w:val="22"/>
                <w:szCs w:val="22"/>
              </w:rPr>
              <w:t xml:space="preserve">□特定对象调研 </w:t>
            </w:r>
          </w:p>
          <w:p w14:paraId="5578A4EA">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r>
              <w:rPr>
                <w:sz w:val="22"/>
                <w:szCs w:val="22"/>
              </w:rPr>
              <w:sym w:font="Wingdings 2" w:char="00A3"/>
            </w:r>
            <w:r>
              <w:rPr>
                <w:sz w:val="22"/>
                <w:szCs w:val="22"/>
              </w:rPr>
              <w:t xml:space="preserve">业绩说明会 </w:t>
            </w:r>
          </w:p>
          <w:p w14:paraId="1E70725D">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r>
              <w:rPr>
                <w:sz w:val="22"/>
                <w:szCs w:val="22"/>
              </w:rPr>
              <w:sym w:font="Wingdings 2" w:char="0052"/>
            </w:r>
            <w:r>
              <w:rPr>
                <w:sz w:val="22"/>
                <w:szCs w:val="22"/>
              </w:rPr>
              <w:t xml:space="preserve">现场参观 </w:t>
            </w:r>
          </w:p>
        </w:tc>
        <w:tc>
          <w:tcPr>
            <w:tcW w:w="1507" w:type="pct"/>
            <w:tcBorders>
              <w:left w:val="nil"/>
              <w:bottom w:val="single" w:color="000000" w:sz="6" w:space="0"/>
              <w:right w:val="nil"/>
            </w:tcBorders>
          </w:tcPr>
          <w:p w14:paraId="346786E0">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r>
              <w:rPr>
                <w:sz w:val="22"/>
                <w:szCs w:val="22"/>
              </w:rPr>
              <w:sym w:font="Wingdings 2" w:char="0052"/>
            </w:r>
            <w:r>
              <w:rPr>
                <w:sz w:val="22"/>
                <w:szCs w:val="22"/>
              </w:rPr>
              <w:t xml:space="preserve">分析师会议 </w:t>
            </w:r>
          </w:p>
          <w:p w14:paraId="68E71A69">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r>
              <w:rPr>
                <w:sz w:val="22"/>
                <w:szCs w:val="22"/>
              </w:rPr>
              <w:t xml:space="preserve">□新闻发布会 </w:t>
            </w:r>
          </w:p>
          <w:p w14:paraId="5DAA253D">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lang w:val="en-US"/>
              </w:rPr>
            </w:pPr>
            <w:r>
              <w:rPr>
                <w:sz w:val="22"/>
                <w:szCs w:val="22"/>
              </w:rPr>
              <w:sym w:font="Wingdings 2" w:char="0052"/>
            </w:r>
            <w:r>
              <w:rPr>
                <w:sz w:val="22"/>
                <w:szCs w:val="22"/>
              </w:rPr>
              <w:t>其他</w:t>
            </w:r>
            <w:r>
              <w:rPr>
                <w:rFonts w:hint="eastAsia"/>
                <w:sz w:val="22"/>
                <w:szCs w:val="22"/>
              </w:rPr>
              <w:t>（</w:t>
            </w:r>
            <w:r>
              <w:rPr>
                <w:rFonts w:hint="eastAsia"/>
                <w:sz w:val="22"/>
                <w:szCs w:val="22"/>
                <w:lang w:val="en-US" w:eastAsia="zh-CN"/>
              </w:rPr>
              <w:t>券商策略会、</w:t>
            </w:r>
            <w:r>
              <w:rPr>
                <w:rFonts w:hint="eastAsia"/>
                <w:sz w:val="22"/>
                <w:szCs w:val="22"/>
                <w:lang w:val="en-US"/>
              </w:rPr>
              <w:t>电话会议</w:t>
            </w:r>
            <w:r>
              <w:rPr>
                <w:rFonts w:hint="eastAsia"/>
                <w:sz w:val="22"/>
                <w:szCs w:val="22"/>
              </w:rPr>
              <w:t>）</w:t>
            </w:r>
            <w:r>
              <w:rPr>
                <w:rFonts w:hint="eastAsia"/>
                <w:sz w:val="22"/>
                <w:szCs w:val="22"/>
                <w:lang w:val="en-US"/>
              </w:rPr>
              <w:t xml:space="preserve">       </w:t>
            </w:r>
          </w:p>
        </w:tc>
        <w:tc>
          <w:tcPr>
            <w:tcW w:w="1184" w:type="pct"/>
            <w:tcBorders>
              <w:left w:val="nil"/>
              <w:bottom w:val="single" w:color="000000" w:sz="6" w:space="0"/>
            </w:tcBorders>
          </w:tcPr>
          <w:p w14:paraId="6459BA76">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r>
              <w:rPr>
                <w:sz w:val="22"/>
                <w:szCs w:val="22"/>
              </w:rPr>
              <w:sym w:font="Wingdings 2" w:char="00A3"/>
            </w:r>
            <w:r>
              <w:rPr>
                <w:sz w:val="22"/>
                <w:szCs w:val="22"/>
              </w:rPr>
              <w:t>媒</w:t>
            </w:r>
            <w:r>
              <w:rPr>
                <w:rFonts w:hint="eastAsia"/>
                <w:sz w:val="22"/>
                <w:szCs w:val="22"/>
              </w:rPr>
              <w:t>体采访</w:t>
            </w:r>
          </w:p>
          <w:p w14:paraId="07BF97A9">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lang w:val="en-US"/>
              </w:rPr>
            </w:pPr>
            <w:r>
              <w:rPr>
                <w:sz w:val="22"/>
                <w:szCs w:val="22"/>
              </w:rPr>
              <w:sym w:font="Wingdings 2" w:char="00A3"/>
            </w:r>
            <w:r>
              <w:rPr>
                <w:sz w:val="22"/>
                <w:szCs w:val="22"/>
              </w:rPr>
              <w:t>路</w:t>
            </w:r>
            <w:r>
              <w:rPr>
                <w:rFonts w:hint="eastAsia"/>
                <w:sz w:val="22"/>
                <w:szCs w:val="22"/>
              </w:rPr>
              <w:t>演</w:t>
            </w:r>
            <w:r>
              <w:rPr>
                <w:sz w:val="22"/>
                <w:szCs w:val="22"/>
              </w:rPr>
              <w:t xml:space="preserve">活动 </w:t>
            </w:r>
          </w:p>
          <w:p w14:paraId="75474706">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rPr>
            </w:pPr>
          </w:p>
        </w:tc>
      </w:tr>
      <w:tr w14:paraId="1B2D05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160" w:type="pct"/>
            <w:tcBorders>
              <w:top w:val="single" w:color="000000" w:sz="6" w:space="0"/>
              <w:bottom w:val="single" w:color="000000" w:sz="6" w:space="0"/>
              <w:right w:val="single" w:color="000000" w:sz="6" w:space="0"/>
            </w:tcBorders>
            <w:vAlign w:val="center"/>
          </w:tcPr>
          <w:p w14:paraId="0770B8F8">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参与单位</w:t>
            </w:r>
          </w:p>
        </w:tc>
        <w:tc>
          <w:tcPr>
            <w:tcW w:w="3839" w:type="pct"/>
            <w:gridSpan w:val="3"/>
            <w:tcBorders>
              <w:top w:val="single" w:color="000000" w:sz="6" w:space="0"/>
              <w:left w:val="single" w:color="000000" w:sz="6" w:space="0"/>
              <w:bottom w:val="single" w:color="000000" w:sz="6" w:space="0"/>
            </w:tcBorders>
            <w:vAlign w:val="center"/>
          </w:tcPr>
          <w:p w14:paraId="6887B5EE">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rPr>
            </w:pPr>
            <w:r>
              <w:rPr>
                <w:rFonts w:hint="eastAsia"/>
                <w:sz w:val="22"/>
                <w:szCs w:val="22"/>
                <w:lang w:val="en-US" w:eastAsia="zh-CN"/>
              </w:rPr>
              <w:t>国泰海通、申万宏源、天风证券、国海证券、华创证券、银华基金、中欧基金、</w:t>
            </w:r>
          </w:p>
          <w:p w14:paraId="0F20B6F3">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rPr>
            </w:pPr>
            <w:r>
              <w:rPr>
                <w:rFonts w:hint="eastAsia"/>
                <w:sz w:val="22"/>
                <w:szCs w:val="22"/>
                <w:lang w:val="en-US" w:eastAsia="zh-CN"/>
              </w:rPr>
              <w:t>嘉实基金、摩根基金、富国基金、长城基金、中证焦桐基金、鄂尔多斯投资、</w:t>
            </w:r>
          </w:p>
          <w:p w14:paraId="429CD371">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rPr>
            </w:pPr>
            <w:r>
              <w:rPr>
                <w:rFonts w:hint="eastAsia"/>
                <w:sz w:val="22"/>
                <w:szCs w:val="22"/>
                <w:lang w:val="en-US" w:eastAsia="zh-CN"/>
              </w:rPr>
              <w:t>睿目投资、长城财富、中金资管、博时基金、银华基金、富安达基金、阳光资产、</w:t>
            </w:r>
          </w:p>
          <w:p w14:paraId="23669815">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rPr>
            </w:pPr>
            <w:r>
              <w:rPr>
                <w:rFonts w:hint="eastAsia"/>
                <w:sz w:val="22"/>
                <w:szCs w:val="22"/>
                <w:lang w:val="en-US" w:eastAsia="zh-CN"/>
              </w:rPr>
              <w:t>华夏久盈、华夏基金、平安资管、天弘基金、盈怀基金、西部利得、四川发展基金、</w:t>
            </w:r>
          </w:p>
          <w:p w14:paraId="43AE7E3C">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eastAsia="zh-CN"/>
              </w:rPr>
            </w:pPr>
            <w:r>
              <w:rPr>
                <w:rFonts w:hint="eastAsia"/>
                <w:sz w:val="22"/>
                <w:szCs w:val="22"/>
                <w:lang w:val="en-US" w:eastAsia="zh-CN"/>
              </w:rPr>
              <w:t>高腾基金、盈峰资本、南方基金、红土创新基金、长江证券自营、国信证券自营、</w:t>
            </w:r>
          </w:p>
          <w:p w14:paraId="35CE02DE">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rPr>
            </w:pPr>
            <w:r>
              <w:rPr>
                <w:rFonts w:hint="eastAsia"/>
                <w:sz w:val="22"/>
                <w:szCs w:val="22"/>
                <w:lang w:val="en-US" w:eastAsia="zh-CN"/>
              </w:rPr>
              <w:t>景顺长城基金、景元天成投资、国投瑞银基金、LMR Partners</w:t>
            </w:r>
          </w:p>
          <w:p w14:paraId="0686C3AF">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sz w:val="22"/>
                <w:szCs w:val="22"/>
                <w:lang w:val="en-US"/>
              </w:rPr>
            </w:pPr>
            <w:r>
              <w:rPr>
                <w:rFonts w:hint="eastAsia"/>
                <w:sz w:val="22"/>
                <w:szCs w:val="22"/>
                <w:lang w:val="en-US" w:eastAsia="zh-CN"/>
              </w:rPr>
              <w:t>（以上排名不分先后）</w:t>
            </w:r>
          </w:p>
        </w:tc>
      </w:tr>
      <w:tr w14:paraId="7BBCF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160" w:type="pct"/>
            <w:tcBorders>
              <w:top w:val="single" w:color="000000" w:sz="6" w:space="0"/>
              <w:bottom w:val="single" w:color="000000" w:sz="6" w:space="0"/>
              <w:right w:val="single" w:color="000000" w:sz="6" w:space="0"/>
            </w:tcBorders>
            <w:vAlign w:val="center"/>
          </w:tcPr>
          <w:p w14:paraId="1BAD2C5F">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时间</w:t>
            </w:r>
          </w:p>
        </w:tc>
        <w:tc>
          <w:tcPr>
            <w:tcW w:w="3839" w:type="pct"/>
            <w:gridSpan w:val="3"/>
            <w:tcBorders>
              <w:top w:val="single" w:color="000000" w:sz="6" w:space="0"/>
              <w:left w:val="single" w:color="000000" w:sz="6" w:space="0"/>
              <w:bottom w:val="single" w:color="000000" w:sz="6" w:space="0"/>
            </w:tcBorders>
            <w:vAlign w:val="center"/>
          </w:tcPr>
          <w:p w14:paraId="50FFA0B8">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lang w:val="en-US"/>
              </w:rPr>
            </w:pPr>
            <w:r>
              <w:rPr>
                <w:rFonts w:hint="eastAsia"/>
                <w:sz w:val="22"/>
                <w:szCs w:val="22"/>
                <w:lang w:val="en-US"/>
              </w:rPr>
              <w:t>2025年1</w:t>
            </w:r>
            <w:r>
              <w:rPr>
                <w:rFonts w:hint="eastAsia"/>
                <w:sz w:val="22"/>
                <w:szCs w:val="22"/>
                <w:lang w:val="en-US" w:eastAsia="zh-CN"/>
              </w:rPr>
              <w:t>1</w:t>
            </w:r>
            <w:r>
              <w:rPr>
                <w:rFonts w:hint="eastAsia"/>
                <w:sz w:val="22"/>
                <w:szCs w:val="22"/>
                <w:lang w:val="en-US"/>
              </w:rPr>
              <w:t>月</w:t>
            </w:r>
            <w:r>
              <w:rPr>
                <w:rFonts w:hint="eastAsia"/>
                <w:sz w:val="22"/>
                <w:szCs w:val="22"/>
                <w:lang w:val="en-US" w:eastAsia="zh-CN"/>
              </w:rPr>
              <w:t>14</w:t>
            </w:r>
            <w:r>
              <w:rPr>
                <w:rFonts w:hint="eastAsia"/>
                <w:sz w:val="22"/>
                <w:szCs w:val="22"/>
                <w:lang w:val="en-US"/>
              </w:rPr>
              <w:t>日</w:t>
            </w:r>
            <w:r>
              <w:rPr>
                <w:rFonts w:hint="eastAsia"/>
                <w:sz w:val="22"/>
                <w:szCs w:val="22"/>
                <w:lang w:val="en-US" w:eastAsia="zh-CN"/>
              </w:rPr>
              <w:t>至12月2</w:t>
            </w:r>
            <w:r>
              <w:rPr>
                <w:rFonts w:hint="eastAsia"/>
                <w:sz w:val="22"/>
                <w:szCs w:val="22"/>
                <w:lang w:val="en-US"/>
              </w:rPr>
              <w:t>日</w:t>
            </w:r>
          </w:p>
        </w:tc>
      </w:tr>
      <w:tr w14:paraId="3905EA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5" w:hRule="atLeast"/>
          <w:jc w:val="center"/>
        </w:trPr>
        <w:tc>
          <w:tcPr>
            <w:tcW w:w="1160" w:type="pct"/>
            <w:tcBorders>
              <w:top w:val="single" w:color="000000" w:sz="6" w:space="0"/>
              <w:bottom w:val="single" w:color="000000" w:sz="6" w:space="0"/>
              <w:right w:val="single" w:color="000000" w:sz="6" w:space="0"/>
            </w:tcBorders>
            <w:vAlign w:val="center"/>
          </w:tcPr>
          <w:p w14:paraId="218C7E7B">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地点</w:t>
            </w:r>
          </w:p>
        </w:tc>
        <w:tc>
          <w:tcPr>
            <w:tcW w:w="3839" w:type="pct"/>
            <w:gridSpan w:val="3"/>
            <w:tcBorders>
              <w:top w:val="single" w:color="000000" w:sz="6" w:space="0"/>
              <w:left w:val="single" w:color="000000" w:sz="6" w:space="0"/>
              <w:bottom w:val="single" w:color="000000" w:sz="6" w:space="0"/>
            </w:tcBorders>
            <w:vAlign w:val="center"/>
          </w:tcPr>
          <w:p w14:paraId="1A0E40D2">
            <w:pPr>
              <w:pStyle w:val="14"/>
              <w:keepNext w:val="0"/>
              <w:keepLines w:val="0"/>
              <w:pageBreakBefore w:val="0"/>
              <w:widowControl w:val="0"/>
              <w:kinsoku/>
              <w:wordWrap/>
              <w:overflowPunct/>
              <w:topLinePunct w:val="0"/>
              <w:bidi w:val="0"/>
              <w:adjustRightInd/>
              <w:snapToGrid/>
              <w:spacing w:line="420" w:lineRule="exact"/>
              <w:textAlignment w:val="auto"/>
              <w:rPr>
                <w:rFonts w:hint="default" w:eastAsia="宋体"/>
                <w:sz w:val="22"/>
                <w:szCs w:val="22"/>
                <w:lang w:val="en-US" w:eastAsia="zh-CN"/>
              </w:rPr>
            </w:pPr>
            <w:r>
              <w:rPr>
                <w:rFonts w:hint="eastAsia"/>
                <w:sz w:val="22"/>
                <w:szCs w:val="22"/>
                <w:lang w:val="en-US"/>
              </w:rPr>
              <w:t>成都</w:t>
            </w:r>
            <w:r>
              <w:rPr>
                <w:rFonts w:hint="eastAsia"/>
                <w:sz w:val="22"/>
                <w:szCs w:val="22"/>
                <w:lang w:val="en-US" w:eastAsia="zh-CN"/>
              </w:rPr>
              <w:t>、北京、南宁、深圳</w:t>
            </w:r>
          </w:p>
        </w:tc>
      </w:tr>
      <w:tr w14:paraId="7C36F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jc w:val="center"/>
        </w:trPr>
        <w:tc>
          <w:tcPr>
            <w:tcW w:w="1160" w:type="pct"/>
            <w:tcBorders>
              <w:top w:val="single" w:color="000000" w:sz="6" w:space="0"/>
              <w:bottom w:val="single" w:color="000000" w:sz="6" w:space="0"/>
              <w:right w:val="single" w:color="000000" w:sz="6" w:space="0"/>
            </w:tcBorders>
            <w:vAlign w:val="center"/>
          </w:tcPr>
          <w:p w14:paraId="4FB40B71">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lang w:val="en-US"/>
              </w:rPr>
              <w:t>上市</w:t>
            </w:r>
            <w:r>
              <w:rPr>
                <w:rFonts w:hint="eastAsia"/>
                <w:b/>
                <w:bCs/>
                <w:sz w:val="22"/>
                <w:szCs w:val="22"/>
              </w:rPr>
              <w:t>公司</w:t>
            </w:r>
          </w:p>
          <w:p w14:paraId="34BD383F">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接待人员姓名</w:t>
            </w:r>
          </w:p>
        </w:tc>
        <w:tc>
          <w:tcPr>
            <w:tcW w:w="3839" w:type="pct"/>
            <w:gridSpan w:val="3"/>
            <w:tcBorders>
              <w:top w:val="single" w:color="000000" w:sz="6" w:space="0"/>
              <w:left w:val="single" w:color="000000" w:sz="6" w:space="0"/>
              <w:bottom w:val="single" w:color="000000" w:sz="6" w:space="0"/>
            </w:tcBorders>
            <w:vAlign w:val="center"/>
          </w:tcPr>
          <w:p w14:paraId="5659D40E">
            <w:pPr>
              <w:pStyle w:val="14"/>
              <w:keepNext w:val="0"/>
              <w:keepLines w:val="0"/>
              <w:pageBreakBefore w:val="0"/>
              <w:widowControl w:val="0"/>
              <w:kinsoku/>
              <w:wordWrap/>
              <w:overflowPunct/>
              <w:topLinePunct w:val="0"/>
              <w:bidi w:val="0"/>
              <w:adjustRightInd/>
              <w:snapToGrid/>
              <w:spacing w:line="420" w:lineRule="exact"/>
              <w:ind w:right="227"/>
              <w:textAlignment w:val="auto"/>
              <w:rPr>
                <w:rFonts w:hint="eastAsia" w:eastAsia="宋体"/>
                <w:sz w:val="22"/>
                <w:szCs w:val="22"/>
                <w:lang w:val="en-US" w:eastAsia="zh-CN"/>
              </w:rPr>
            </w:pPr>
            <w:r>
              <w:rPr>
                <w:rFonts w:hint="eastAsia"/>
                <w:sz w:val="22"/>
                <w:szCs w:val="22"/>
                <w:lang w:val="en-US" w:eastAsia="zh-CN"/>
              </w:rPr>
              <w:t>董事长</w:t>
            </w:r>
            <w:r>
              <w:rPr>
                <w:rFonts w:hint="eastAsia"/>
                <w:sz w:val="22"/>
                <w:szCs w:val="22"/>
                <w:lang w:val="en-US"/>
              </w:rPr>
              <w:t>：</w:t>
            </w:r>
            <w:r>
              <w:rPr>
                <w:rFonts w:hint="eastAsia"/>
                <w:sz w:val="22"/>
                <w:szCs w:val="22"/>
                <w:lang w:val="en-US" w:eastAsia="zh-CN"/>
              </w:rPr>
              <w:t>岳良泉</w:t>
            </w:r>
          </w:p>
          <w:p w14:paraId="2EF6647F">
            <w:pPr>
              <w:pStyle w:val="14"/>
              <w:keepNext w:val="0"/>
              <w:keepLines w:val="0"/>
              <w:pageBreakBefore w:val="0"/>
              <w:widowControl w:val="0"/>
              <w:kinsoku/>
              <w:wordWrap/>
              <w:overflowPunct/>
              <w:topLinePunct w:val="0"/>
              <w:bidi w:val="0"/>
              <w:adjustRightInd/>
              <w:snapToGrid/>
              <w:spacing w:line="420" w:lineRule="exact"/>
              <w:ind w:right="227"/>
              <w:textAlignment w:val="auto"/>
              <w:rPr>
                <w:rFonts w:hint="eastAsia"/>
                <w:sz w:val="22"/>
                <w:szCs w:val="22"/>
                <w:lang w:val="en-US"/>
              </w:rPr>
            </w:pPr>
            <w:r>
              <w:rPr>
                <w:rFonts w:hint="eastAsia"/>
                <w:sz w:val="22"/>
                <w:szCs w:val="22"/>
              </w:rPr>
              <w:t>董事会秘书：</w:t>
            </w:r>
            <w:r>
              <w:rPr>
                <w:rFonts w:hint="eastAsia"/>
                <w:sz w:val="22"/>
                <w:szCs w:val="22"/>
                <w:lang w:val="en-US"/>
              </w:rPr>
              <w:t>张耕</w:t>
            </w:r>
          </w:p>
          <w:p w14:paraId="6C9B3DBC">
            <w:pPr>
              <w:pStyle w:val="14"/>
              <w:keepNext w:val="0"/>
              <w:keepLines w:val="0"/>
              <w:pageBreakBefore w:val="0"/>
              <w:widowControl w:val="0"/>
              <w:kinsoku/>
              <w:wordWrap/>
              <w:overflowPunct/>
              <w:topLinePunct w:val="0"/>
              <w:bidi w:val="0"/>
              <w:adjustRightInd/>
              <w:snapToGrid/>
              <w:spacing w:line="420" w:lineRule="exact"/>
              <w:ind w:right="227"/>
              <w:textAlignment w:val="auto"/>
              <w:rPr>
                <w:rFonts w:hint="eastAsia"/>
                <w:sz w:val="22"/>
                <w:szCs w:val="22"/>
                <w:lang w:val="en-US"/>
              </w:rPr>
            </w:pPr>
            <w:r>
              <w:rPr>
                <w:rFonts w:hint="eastAsia"/>
                <w:sz w:val="22"/>
                <w:szCs w:val="22"/>
                <w:lang w:val="en-US"/>
              </w:rPr>
              <w:t>副总经理：徐成聪</w:t>
            </w:r>
          </w:p>
          <w:p w14:paraId="75824CE4">
            <w:pPr>
              <w:pStyle w:val="14"/>
              <w:keepNext w:val="0"/>
              <w:keepLines w:val="0"/>
              <w:pageBreakBefore w:val="0"/>
              <w:widowControl w:val="0"/>
              <w:kinsoku/>
              <w:wordWrap/>
              <w:overflowPunct/>
              <w:topLinePunct w:val="0"/>
              <w:bidi w:val="0"/>
              <w:adjustRightInd/>
              <w:snapToGrid/>
              <w:spacing w:line="420" w:lineRule="exact"/>
              <w:ind w:right="227"/>
              <w:textAlignment w:val="auto"/>
              <w:rPr>
                <w:rFonts w:hint="eastAsia"/>
                <w:sz w:val="22"/>
                <w:szCs w:val="22"/>
                <w:lang w:val="en-US"/>
              </w:rPr>
            </w:pPr>
            <w:r>
              <w:rPr>
                <w:rFonts w:hint="eastAsia"/>
                <w:sz w:val="22"/>
                <w:szCs w:val="22"/>
                <w:lang w:val="en-US"/>
              </w:rPr>
              <w:t>财务总监：陈丽青</w:t>
            </w:r>
          </w:p>
          <w:p w14:paraId="721FEB6A">
            <w:pPr>
              <w:pStyle w:val="14"/>
              <w:keepNext w:val="0"/>
              <w:keepLines w:val="0"/>
              <w:pageBreakBefore w:val="0"/>
              <w:widowControl w:val="0"/>
              <w:kinsoku/>
              <w:wordWrap/>
              <w:overflowPunct/>
              <w:topLinePunct w:val="0"/>
              <w:bidi w:val="0"/>
              <w:adjustRightInd/>
              <w:snapToGrid/>
              <w:spacing w:line="420" w:lineRule="exact"/>
              <w:ind w:right="227"/>
              <w:textAlignment w:val="auto"/>
              <w:rPr>
                <w:rFonts w:hint="eastAsia"/>
                <w:sz w:val="22"/>
                <w:szCs w:val="22"/>
                <w:lang w:val="en-US"/>
              </w:rPr>
            </w:pPr>
            <w:r>
              <w:rPr>
                <w:rFonts w:hint="eastAsia"/>
                <w:sz w:val="22"/>
                <w:szCs w:val="22"/>
                <w:lang w:val="en-US"/>
              </w:rPr>
              <w:t>证券事务代表：张诗琪</w:t>
            </w:r>
          </w:p>
        </w:tc>
      </w:tr>
      <w:tr w14:paraId="0E0E64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160" w:type="pct"/>
            <w:tcBorders>
              <w:top w:val="single" w:color="000000" w:sz="6" w:space="0"/>
              <w:bottom w:val="single" w:color="000000" w:sz="6" w:space="0"/>
              <w:right w:val="single" w:color="000000" w:sz="6" w:space="0"/>
            </w:tcBorders>
            <w:vAlign w:val="center"/>
          </w:tcPr>
          <w:p w14:paraId="54B1331F">
            <w:pPr>
              <w:pStyle w:val="14"/>
              <w:keepNext w:val="0"/>
              <w:keepLines w:val="0"/>
              <w:pageBreakBefore w:val="0"/>
              <w:widowControl w:val="0"/>
              <w:kinsoku/>
              <w:wordWrap/>
              <w:overflowPunct/>
              <w:topLinePunct w:val="0"/>
              <w:bidi w:val="0"/>
              <w:adjustRightInd/>
              <w:snapToGrid/>
              <w:spacing w:line="420" w:lineRule="exact"/>
              <w:textAlignment w:val="auto"/>
              <w:rPr>
                <w:rFonts w:hint="eastAsia"/>
                <w:b/>
                <w:bCs/>
                <w:sz w:val="22"/>
                <w:szCs w:val="22"/>
              </w:rPr>
            </w:pPr>
            <w:r>
              <w:rPr>
                <w:rFonts w:hint="eastAsia"/>
                <w:b/>
                <w:bCs/>
                <w:sz w:val="22"/>
                <w:szCs w:val="22"/>
                <w:lang w:val="en-US"/>
              </w:rPr>
              <w:t xml:space="preserve">  </w:t>
            </w:r>
            <w:r>
              <w:rPr>
                <w:rFonts w:hint="eastAsia"/>
                <w:b/>
                <w:bCs/>
                <w:sz w:val="22"/>
                <w:szCs w:val="22"/>
              </w:rPr>
              <w:t>投资者关系活动</w:t>
            </w:r>
          </w:p>
          <w:p w14:paraId="47F32A3C">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主要内容介绍</w:t>
            </w:r>
          </w:p>
        </w:tc>
        <w:tc>
          <w:tcPr>
            <w:tcW w:w="3839" w:type="pct"/>
            <w:gridSpan w:val="3"/>
            <w:tcBorders>
              <w:top w:val="single" w:color="000000" w:sz="6" w:space="0"/>
              <w:left w:val="single" w:color="000000" w:sz="6" w:space="0"/>
              <w:bottom w:val="single" w:color="000000" w:sz="6" w:space="0"/>
            </w:tcBorders>
            <w:vAlign w:val="center"/>
          </w:tcPr>
          <w:p w14:paraId="48806FA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sz w:val="22"/>
                <w:szCs w:val="22"/>
                <w:lang w:val="en-US"/>
              </w:rPr>
            </w:pPr>
            <w:bookmarkStart w:id="0" w:name="7182-1592134663918"/>
            <w:bookmarkEnd w:id="0"/>
            <w:r>
              <w:rPr>
                <w:rFonts w:hint="eastAsia"/>
                <w:b/>
                <w:bCs/>
                <w:sz w:val="22"/>
                <w:szCs w:val="22"/>
                <w:lang w:val="en-US"/>
              </w:rPr>
              <w:t>会议交流主要内容</w:t>
            </w:r>
          </w:p>
          <w:p w14:paraId="1ED50A9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eastAsia="宋体"/>
                <w:b/>
                <w:bCs/>
                <w:sz w:val="22"/>
                <w:szCs w:val="22"/>
                <w:lang w:val="en-US" w:eastAsia="zh-CN"/>
              </w:rPr>
            </w:pPr>
            <w:r>
              <w:rPr>
                <w:rFonts w:hint="eastAsia"/>
                <w:b/>
                <w:bCs/>
                <w:sz w:val="22"/>
                <w:szCs w:val="22"/>
                <w:lang w:val="en-US"/>
              </w:rPr>
              <w:t>一、公司</w:t>
            </w:r>
            <w:r>
              <w:rPr>
                <w:rFonts w:hint="eastAsia"/>
                <w:b/>
                <w:bCs/>
                <w:sz w:val="22"/>
                <w:szCs w:val="22"/>
                <w:lang w:val="en-US" w:eastAsia="zh-CN"/>
              </w:rPr>
              <w:t>经营计划与战略规划</w:t>
            </w:r>
          </w:p>
          <w:p w14:paraId="4A7B9665">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sz w:val="22"/>
                <w:szCs w:val="22"/>
                <w:lang w:val="en-US"/>
              </w:rPr>
            </w:pPr>
            <w:r>
              <w:rPr>
                <w:rFonts w:hint="eastAsia"/>
                <w:sz w:val="22"/>
                <w:szCs w:val="22"/>
                <w:lang w:val="en-US"/>
              </w:rPr>
              <w:t>公司持续聚焦生猪养殖业务主航道，公司2025年度规划的商品肥猪出栏目标为400万头以上</w:t>
            </w:r>
            <w:r>
              <w:rPr>
                <w:rFonts w:hint="eastAsia"/>
                <w:sz w:val="22"/>
                <w:szCs w:val="22"/>
                <w:lang w:val="en-US" w:eastAsia="zh-CN"/>
              </w:rPr>
              <w:t>、</w:t>
            </w:r>
            <w:r>
              <w:rPr>
                <w:rFonts w:hint="eastAsia"/>
                <w:sz w:val="22"/>
                <w:szCs w:val="22"/>
                <w:lang w:val="en-US"/>
              </w:rPr>
              <w:t>商品</w:t>
            </w:r>
            <w:r>
              <w:rPr>
                <w:rFonts w:hint="eastAsia"/>
                <w:sz w:val="22"/>
                <w:szCs w:val="22"/>
                <w:lang w:val="en-US" w:eastAsia="zh-CN"/>
              </w:rPr>
              <w:t>肥</w:t>
            </w:r>
            <w:r>
              <w:rPr>
                <w:rFonts w:hint="eastAsia"/>
                <w:sz w:val="22"/>
                <w:szCs w:val="22"/>
                <w:lang w:val="en-US"/>
              </w:rPr>
              <w:t>猪完全成本目标为6.5元/斤</w:t>
            </w:r>
            <w:r>
              <w:rPr>
                <w:rFonts w:hint="eastAsia"/>
                <w:sz w:val="22"/>
                <w:szCs w:val="22"/>
                <w:lang w:val="en-US" w:eastAsia="zh-CN"/>
              </w:rPr>
              <w:t>以内。2025年1至10月公司已累计销售生猪339.36万头，2025年10月</w:t>
            </w:r>
            <w:r>
              <w:rPr>
                <w:rFonts w:ascii="宋体" w:hAnsi="宋体" w:eastAsia="宋体" w:cs="宋体"/>
                <w:sz w:val="22"/>
                <w:szCs w:val="22"/>
              </w:rPr>
              <w:t>商品肥猪完全成本约为6.1元/斤</w:t>
            </w:r>
            <w:r>
              <w:rPr>
                <w:rFonts w:hint="eastAsia" w:cs="宋体"/>
                <w:sz w:val="22"/>
                <w:szCs w:val="22"/>
                <w:lang w:eastAsia="zh-CN"/>
              </w:rPr>
              <w:t>；</w:t>
            </w:r>
            <w:r>
              <w:rPr>
                <w:rFonts w:hint="eastAsia" w:cs="宋体"/>
                <w:sz w:val="22"/>
                <w:szCs w:val="22"/>
                <w:lang w:val="en-US" w:eastAsia="zh-CN"/>
              </w:rPr>
              <w:t>包括</w:t>
            </w:r>
            <w:r>
              <w:rPr>
                <w:rFonts w:hint="eastAsia"/>
                <w:sz w:val="22"/>
                <w:szCs w:val="22"/>
                <w:lang w:val="en-US"/>
              </w:rPr>
              <w:t>商品肥猪</w:t>
            </w:r>
            <w:r>
              <w:rPr>
                <w:rFonts w:hint="eastAsia"/>
                <w:sz w:val="22"/>
                <w:szCs w:val="22"/>
                <w:lang w:val="en-US" w:eastAsia="zh-CN"/>
              </w:rPr>
              <w:t>在内的生猪销售计划按照年度出栏目标顺利执行，</w:t>
            </w:r>
            <w:r>
              <w:rPr>
                <w:rFonts w:ascii="宋体" w:hAnsi="宋体" w:eastAsia="宋体" w:cs="宋体"/>
                <w:sz w:val="22"/>
                <w:szCs w:val="22"/>
              </w:rPr>
              <w:t>商品肥猪完全成本</w:t>
            </w:r>
            <w:r>
              <w:rPr>
                <w:rFonts w:hint="eastAsia" w:cs="宋体"/>
                <w:sz w:val="22"/>
                <w:szCs w:val="22"/>
                <w:lang w:val="en-US" w:eastAsia="zh-CN"/>
              </w:rPr>
              <w:t>已经阶段性达到年度成本</w:t>
            </w:r>
            <w:r>
              <w:rPr>
                <w:rFonts w:hint="eastAsia"/>
                <w:sz w:val="22"/>
                <w:szCs w:val="22"/>
                <w:lang w:val="en-US"/>
              </w:rPr>
              <w:t>目标</w:t>
            </w:r>
            <w:r>
              <w:rPr>
                <w:rFonts w:hint="eastAsia" w:cs="宋体"/>
                <w:sz w:val="22"/>
                <w:szCs w:val="22"/>
                <w:lang w:eastAsia="zh-CN"/>
              </w:rPr>
              <w:t>。</w:t>
            </w:r>
            <w:r>
              <w:rPr>
                <w:rFonts w:hint="eastAsia" w:cs="宋体"/>
                <w:sz w:val="22"/>
                <w:szCs w:val="22"/>
                <w:lang w:val="en-US" w:eastAsia="zh-CN"/>
              </w:rPr>
              <w:t>后续，</w:t>
            </w:r>
            <w:r>
              <w:rPr>
                <w:rFonts w:hint="eastAsia"/>
                <w:sz w:val="22"/>
                <w:szCs w:val="22"/>
                <w:lang w:val="en-US"/>
              </w:rPr>
              <w:t>公司将在“效率提升、成本管控”等方面继续突破，持续增强竞争优势和盈利能力，</w:t>
            </w:r>
            <w:r>
              <w:rPr>
                <w:rFonts w:hint="eastAsia"/>
                <w:sz w:val="22"/>
                <w:szCs w:val="22"/>
                <w:lang w:val="en-US" w:eastAsia="zh-CN"/>
              </w:rPr>
              <w:t>根据年度出栏目标按计划销售</w:t>
            </w:r>
            <w:r>
              <w:rPr>
                <w:rFonts w:hint="eastAsia"/>
                <w:sz w:val="22"/>
                <w:szCs w:val="22"/>
                <w:lang w:val="en-US"/>
              </w:rPr>
              <w:t>商品肥猪</w:t>
            </w:r>
            <w:r>
              <w:rPr>
                <w:rFonts w:hint="eastAsia"/>
                <w:sz w:val="22"/>
                <w:szCs w:val="22"/>
                <w:lang w:val="en-US" w:eastAsia="zh-CN"/>
              </w:rPr>
              <w:t>并根据市场需求择机开展仔猪销售，</w:t>
            </w:r>
            <w:r>
              <w:rPr>
                <w:rFonts w:hint="eastAsia"/>
                <w:sz w:val="22"/>
                <w:szCs w:val="22"/>
                <w:lang w:val="en-US"/>
              </w:rPr>
              <w:t>实现公司</w:t>
            </w:r>
            <w:r>
              <w:rPr>
                <w:rFonts w:hint="eastAsia"/>
                <w:sz w:val="22"/>
                <w:szCs w:val="22"/>
                <w:lang w:val="en-US" w:eastAsia="zh-CN"/>
              </w:rPr>
              <w:t>2025</w:t>
            </w:r>
            <w:r>
              <w:rPr>
                <w:rFonts w:hint="eastAsia"/>
                <w:sz w:val="22"/>
                <w:szCs w:val="22"/>
                <w:lang w:val="en-US"/>
              </w:rPr>
              <w:t>年度经营计划目标。</w:t>
            </w:r>
          </w:p>
          <w:p w14:paraId="270F95DC">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sz w:val="22"/>
                <w:szCs w:val="22"/>
                <w:lang w:val="en-US"/>
              </w:rPr>
            </w:pPr>
            <w:r>
              <w:rPr>
                <w:rFonts w:hint="eastAsia"/>
                <w:sz w:val="22"/>
                <w:szCs w:val="22"/>
                <w:lang w:val="en-US"/>
              </w:rPr>
              <w:t>公司高度重视生猪产业高质量发展并积极响应国家生猪产能调控政策号召，</w:t>
            </w:r>
            <w:r>
              <w:rPr>
                <w:rFonts w:hint="eastAsia"/>
                <w:sz w:val="22"/>
                <w:szCs w:val="22"/>
                <w:lang w:val="en-US" w:eastAsia="zh-CN"/>
              </w:rPr>
              <w:t>以停止新建种猪场项目、淘汰低效种猪产能等方式主动落实生猪产能调控责任，并</w:t>
            </w:r>
            <w:r>
              <w:rPr>
                <w:rFonts w:hint="eastAsia"/>
                <w:sz w:val="22"/>
                <w:szCs w:val="22"/>
                <w:lang w:val="en-US"/>
              </w:rPr>
              <w:t>通过先进技术研发推广、数智化升级改造等多个维度，</w:t>
            </w:r>
            <w:r>
              <w:rPr>
                <w:rFonts w:hint="eastAsia"/>
                <w:sz w:val="22"/>
                <w:szCs w:val="22"/>
                <w:lang w:val="en-US" w:eastAsia="zh-CN"/>
              </w:rPr>
              <w:t>致力于</w:t>
            </w:r>
            <w:r>
              <w:rPr>
                <w:rFonts w:hint="eastAsia"/>
                <w:sz w:val="22"/>
                <w:szCs w:val="22"/>
                <w:lang w:val="en-US"/>
              </w:rPr>
              <w:t>提高养殖效率和经营质量，推动实现高质量发展。</w:t>
            </w:r>
          </w:p>
          <w:p w14:paraId="6D1C4F1F">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sz w:val="22"/>
                <w:szCs w:val="22"/>
                <w:lang w:val="en-US"/>
              </w:rPr>
            </w:pPr>
          </w:p>
          <w:p w14:paraId="212F3B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sz w:val="22"/>
                <w:szCs w:val="22"/>
                <w:lang w:val="en-US"/>
              </w:rPr>
            </w:pPr>
            <w:r>
              <w:rPr>
                <w:rFonts w:hint="eastAsia"/>
                <w:b/>
                <w:bCs/>
                <w:sz w:val="22"/>
                <w:szCs w:val="22"/>
                <w:lang w:val="en-US"/>
              </w:rPr>
              <w:t>二、公司生猪养殖生产指标情况？</w:t>
            </w:r>
          </w:p>
          <w:p w14:paraId="3189EB9C">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sz w:val="22"/>
                <w:szCs w:val="22"/>
                <w:lang w:val="en-US"/>
              </w:rPr>
            </w:pPr>
            <w:r>
              <w:rPr>
                <w:rFonts w:hint="eastAsia"/>
                <w:sz w:val="22"/>
                <w:szCs w:val="22"/>
                <w:lang w:val="en-US"/>
              </w:rPr>
              <w:t>2025年</w:t>
            </w:r>
            <w:r>
              <w:rPr>
                <w:rFonts w:hint="eastAsia"/>
                <w:sz w:val="22"/>
                <w:szCs w:val="22"/>
                <w:lang w:val="en-US" w:eastAsia="zh-CN"/>
              </w:rPr>
              <w:t>10</w:t>
            </w:r>
            <w:r>
              <w:rPr>
                <w:rFonts w:hint="eastAsia"/>
                <w:sz w:val="22"/>
                <w:szCs w:val="22"/>
                <w:lang w:val="en-US"/>
              </w:rPr>
              <w:t>月，公司生猪养殖业务的PSY为</w:t>
            </w:r>
            <w:r>
              <w:rPr>
                <w:rFonts w:hint="eastAsia"/>
                <w:sz w:val="22"/>
                <w:szCs w:val="22"/>
                <w:lang w:val="en-US" w:eastAsia="zh-CN"/>
              </w:rPr>
              <w:t>30</w:t>
            </w:r>
            <w:r>
              <w:rPr>
                <w:rFonts w:hint="eastAsia"/>
                <w:sz w:val="22"/>
                <w:szCs w:val="22"/>
                <w:lang w:val="en-US"/>
              </w:rPr>
              <w:t>头</w:t>
            </w:r>
            <w:r>
              <w:rPr>
                <w:rFonts w:hint="eastAsia"/>
                <w:sz w:val="22"/>
                <w:szCs w:val="22"/>
                <w:lang w:val="en-US" w:eastAsia="zh-CN"/>
              </w:rPr>
              <w:t>以上、育肥</w:t>
            </w:r>
            <w:r>
              <w:rPr>
                <w:rFonts w:hint="eastAsia"/>
                <w:sz w:val="22"/>
                <w:szCs w:val="22"/>
                <w:lang w:val="en-US"/>
              </w:rPr>
              <w:t>料肉比为2.5</w:t>
            </w:r>
            <w:r>
              <w:rPr>
                <w:rFonts w:hint="eastAsia"/>
                <w:sz w:val="22"/>
                <w:szCs w:val="22"/>
                <w:lang w:val="en-US" w:eastAsia="zh-CN"/>
              </w:rPr>
              <w:t>以内</w:t>
            </w:r>
            <w:r>
              <w:rPr>
                <w:rFonts w:hint="eastAsia"/>
                <w:sz w:val="22"/>
                <w:szCs w:val="22"/>
                <w:lang w:val="en-US"/>
              </w:rPr>
              <w:t>。</w:t>
            </w:r>
          </w:p>
          <w:p w14:paraId="5711FE73">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宋体" w:hAnsi="宋体" w:eastAsia="宋体" w:cs="宋体"/>
                <w:sz w:val="22"/>
                <w:szCs w:val="22"/>
              </w:rPr>
            </w:pPr>
            <w:r>
              <w:rPr>
                <w:rFonts w:ascii="宋体" w:hAnsi="宋体" w:eastAsia="宋体" w:cs="宋体"/>
                <w:sz w:val="22"/>
                <w:szCs w:val="22"/>
              </w:rPr>
              <w:t>通过与全球优秀养猪标杆企业对比，公司的生产效率、经营管理仍然存在较大的提升空间，公司将在“科技研发、管理迭代”等方面继续创新突破，以技术成果应用推广提高生产水平，将成功管理经验赋能提升经营业绩，推动实现公司高质量发展。</w:t>
            </w:r>
          </w:p>
          <w:p w14:paraId="772BF38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sz w:val="22"/>
                <w:szCs w:val="22"/>
                <w:lang w:val="en-US"/>
              </w:rPr>
            </w:pPr>
          </w:p>
          <w:p w14:paraId="69DDB29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sz w:val="22"/>
                <w:szCs w:val="22"/>
                <w:lang w:val="en-US"/>
              </w:rPr>
            </w:pPr>
            <w:r>
              <w:rPr>
                <w:rFonts w:hint="eastAsia"/>
                <w:b/>
                <w:bCs/>
                <w:sz w:val="22"/>
                <w:szCs w:val="22"/>
                <w:lang w:val="en-US"/>
              </w:rPr>
              <w:t>三、公司生猪养殖</w:t>
            </w:r>
            <w:r>
              <w:rPr>
                <w:rFonts w:hint="eastAsia"/>
                <w:b/>
                <w:bCs/>
                <w:sz w:val="22"/>
                <w:szCs w:val="22"/>
                <w:lang w:val="en-US" w:eastAsia="zh-CN"/>
              </w:rPr>
              <w:t>完全成本</w:t>
            </w:r>
            <w:r>
              <w:rPr>
                <w:rFonts w:hint="eastAsia"/>
                <w:b/>
                <w:bCs/>
                <w:sz w:val="22"/>
                <w:szCs w:val="22"/>
                <w:lang w:val="en-US"/>
              </w:rPr>
              <w:t>情况？</w:t>
            </w:r>
          </w:p>
          <w:p w14:paraId="65E928D7">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宋体" w:hAnsi="宋体" w:eastAsia="宋体" w:cs="宋体"/>
                <w:sz w:val="22"/>
                <w:szCs w:val="22"/>
              </w:rPr>
            </w:pPr>
            <w:r>
              <w:rPr>
                <w:rFonts w:ascii="宋体" w:hAnsi="宋体" w:eastAsia="宋体" w:cs="宋体"/>
                <w:sz w:val="22"/>
                <w:szCs w:val="22"/>
              </w:rPr>
              <w:t>2025年10月</w:t>
            </w:r>
            <w:r>
              <w:rPr>
                <w:rFonts w:hint="eastAsia" w:cs="宋体"/>
                <w:sz w:val="22"/>
                <w:szCs w:val="22"/>
                <w:lang w:eastAsia="zh-CN"/>
              </w:rPr>
              <w:t>，</w:t>
            </w:r>
            <w:r>
              <w:rPr>
                <w:rFonts w:ascii="宋体" w:hAnsi="宋体" w:eastAsia="宋体" w:cs="宋体"/>
                <w:sz w:val="22"/>
                <w:szCs w:val="22"/>
              </w:rPr>
              <w:t>公司</w:t>
            </w:r>
            <w:r>
              <w:rPr>
                <w:rFonts w:hint="eastAsia" w:cs="宋体"/>
                <w:sz w:val="22"/>
                <w:szCs w:val="22"/>
                <w:lang w:val="en-US" w:eastAsia="zh-CN"/>
              </w:rPr>
              <w:t>断奶仔猪成本约为250元/头</w:t>
            </w:r>
            <w:r>
              <w:rPr>
                <w:rFonts w:ascii="宋体" w:hAnsi="宋体" w:eastAsia="宋体" w:cs="宋体"/>
                <w:sz w:val="22"/>
                <w:szCs w:val="22"/>
              </w:rPr>
              <w:t>、商品肥猪完全成本约为6.1元/斤</w:t>
            </w:r>
            <w:r>
              <w:rPr>
                <w:rFonts w:hint="eastAsia" w:cs="宋体"/>
                <w:sz w:val="22"/>
                <w:szCs w:val="22"/>
                <w:lang w:val="en-US" w:eastAsia="zh-CN"/>
              </w:rPr>
              <w:t>，呈现持续改进下降态势</w:t>
            </w:r>
            <w:r>
              <w:rPr>
                <w:rFonts w:ascii="宋体" w:hAnsi="宋体" w:eastAsia="宋体" w:cs="宋体"/>
                <w:sz w:val="22"/>
                <w:szCs w:val="22"/>
              </w:rPr>
              <w:t>。</w:t>
            </w:r>
          </w:p>
          <w:p w14:paraId="7C5BD14C">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sz w:val="22"/>
                <w:szCs w:val="22"/>
                <w:lang w:val="en-US"/>
              </w:rPr>
            </w:pPr>
            <w:r>
              <w:rPr>
                <w:rFonts w:hint="eastAsia" w:cs="宋体"/>
                <w:sz w:val="22"/>
                <w:szCs w:val="22"/>
                <w:lang w:val="en-US" w:eastAsia="zh-CN"/>
              </w:rPr>
              <w:t>公司将</w:t>
            </w:r>
            <w:r>
              <w:rPr>
                <w:rFonts w:hint="eastAsia" w:ascii="宋体" w:hAnsi="宋体" w:eastAsia="宋体" w:cs="宋体"/>
                <w:sz w:val="22"/>
                <w:szCs w:val="22"/>
                <w:lang w:val="en-US"/>
              </w:rPr>
              <w:t>通过</w:t>
            </w:r>
            <w:r>
              <w:rPr>
                <w:rFonts w:hint="eastAsia" w:cs="宋体"/>
                <w:sz w:val="22"/>
                <w:szCs w:val="22"/>
                <w:lang w:val="en-US" w:eastAsia="zh-CN"/>
              </w:rPr>
              <w:t>优化动物</w:t>
            </w:r>
            <w:r>
              <w:rPr>
                <w:rFonts w:hint="eastAsia" w:ascii="宋体" w:hAnsi="宋体" w:eastAsia="宋体" w:cs="宋体"/>
                <w:sz w:val="22"/>
                <w:szCs w:val="22"/>
                <w:lang w:val="en-US"/>
              </w:rPr>
              <w:t>疫病防控</w:t>
            </w:r>
            <w:r>
              <w:rPr>
                <w:rFonts w:hint="eastAsia" w:cs="宋体"/>
                <w:sz w:val="22"/>
                <w:szCs w:val="22"/>
                <w:lang w:val="en-US" w:eastAsia="zh-CN"/>
              </w:rPr>
              <w:t>、生猪营养</w:t>
            </w:r>
            <w:r>
              <w:rPr>
                <w:rFonts w:hint="eastAsia" w:ascii="宋体" w:hAnsi="宋体" w:eastAsia="宋体" w:cs="宋体"/>
                <w:sz w:val="22"/>
                <w:szCs w:val="22"/>
                <w:lang w:val="en-US"/>
              </w:rPr>
              <w:t>管理提升猪群健康水平</w:t>
            </w:r>
            <w:r>
              <w:rPr>
                <w:rFonts w:hint="eastAsia" w:cs="宋体"/>
                <w:sz w:val="22"/>
                <w:szCs w:val="22"/>
                <w:lang w:val="en-US" w:eastAsia="zh-CN"/>
              </w:rPr>
              <w:t>和</w:t>
            </w:r>
            <w:r>
              <w:rPr>
                <w:rFonts w:hint="eastAsia" w:ascii="宋体" w:hAnsi="宋体" w:eastAsia="宋体" w:cs="宋体"/>
                <w:sz w:val="22"/>
                <w:szCs w:val="22"/>
                <w:lang w:val="en-US"/>
              </w:rPr>
              <w:t>提高生产成绩</w:t>
            </w:r>
            <w:r>
              <w:rPr>
                <w:rFonts w:hint="eastAsia" w:cs="宋体"/>
                <w:sz w:val="22"/>
                <w:szCs w:val="22"/>
                <w:lang w:val="en-US" w:eastAsia="zh-CN"/>
              </w:rPr>
              <w:t>，并</w:t>
            </w:r>
            <w:r>
              <w:rPr>
                <w:rFonts w:hint="eastAsia" w:ascii="宋体" w:hAnsi="宋体" w:eastAsia="宋体" w:cs="宋体"/>
                <w:sz w:val="22"/>
                <w:szCs w:val="22"/>
                <w:lang w:val="en-US"/>
              </w:rPr>
              <w:t>通过</w:t>
            </w:r>
            <w:r>
              <w:rPr>
                <w:rFonts w:hint="eastAsia" w:cs="宋体"/>
                <w:sz w:val="22"/>
                <w:szCs w:val="22"/>
                <w:lang w:val="en-US" w:eastAsia="zh-CN"/>
              </w:rPr>
              <w:t>加强对于</w:t>
            </w:r>
            <w:r>
              <w:rPr>
                <w:rFonts w:hint="eastAsia" w:ascii="宋体" w:hAnsi="宋体" w:eastAsia="宋体" w:cs="宋体"/>
                <w:sz w:val="22"/>
                <w:szCs w:val="22"/>
                <w:lang w:val="en-US"/>
              </w:rPr>
              <w:t>一线员工和管理干部的培训和赋能提升</w:t>
            </w:r>
            <w:r>
              <w:rPr>
                <w:rFonts w:hint="eastAsia" w:cs="宋体"/>
                <w:sz w:val="22"/>
                <w:szCs w:val="22"/>
                <w:lang w:val="en-US" w:eastAsia="zh-CN"/>
              </w:rPr>
              <w:t>核心技能和组织</w:t>
            </w:r>
            <w:r>
              <w:rPr>
                <w:rFonts w:hint="eastAsia" w:ascii="宋体" w:hAnsi="宋体" w:eastAsia="宋体" w:cs="宋体"/>
                <w:sz w:val="22"/>
                <w:szCs w:val="22"/>
                <w:lang w:val="en-US"/>
              </w:rPr>
              <w:t>能力，推动优秀</w:t>
            </w:r>
            <w:r>
              <w:rPr>
                <w:rFonts w:hint="eastAsia" w:cs="宋体"/>
                <w:sz w:val="22"/>
                <w:szCs w:val="22"/>
                <w:lang w:val="en-US" w:eastAsia="zh-CN"/>
              </w:rPr>
              <w:t>标杆养殖</w:t>
            </w:r>
            <w:r>
              <w:rPr>
                <w:rFonts w:hint="eastAsia" w:ascii="宋体" w:hAnsi="宋体" w:eastAsia="宋体" w:cs="宋体"/>
                <w:sz w:val="22"/>
                <w:szCs w:val="22"/>
                <w:lang w:val="en-US"/>
              </w:rPr>
              <w:t>成绩的</w:t>
            </w:r>
            <w:r>
              <w:rPr>
                <w:rFonts w:hint="eastAsia" w:cs="宋体"/>
                <w:sz w:val="22"/>
                <w:szCs w:val="22"/>
                <w:lang w:val="en-US" w:eastAsia="zh-CN"/>
              </w:rPr>
              <w:t>成功要素萃取、</w:t>
            </w:r>
            <w:r>
              <w:rPr>
                <w:rFonts w:hint="eastAsia" w:ascii="宋体" w:hAnsi="宋体" w:eastAsia="宋体" w:cs="宋体"/>
                <w:sz w:val="22"/>
                <w:szCs w:val="22"/>
                <w:lang w:val="en-US"/>
              </w:rPr>
              <w:t>复制、推广，改善</w:t>
            </w:r>
            <w:r>
              <w:rPr>
                <w:rFonts w:hint="eastAsia" w:cs="宋体"/>
                <w:sz w:val="22"/>
                <w:szCs w:val="22"/>
                <w:lang w:val="en-US" w:eastAsia="zh-CN"/>
              </w:rPr>
              <w:t>相对</w:t>
            </w:r>
            <w:r>
              <w:rPr>
                <w:rFonts w:hint="eastAsia" w:ascii="宋体" w:hAnsi="宋体" w:eastAsia="宋体" w:cs="宋体"/>
                <w:sz w:val="22"/>
                <w:szCs w:val="22"/>
                <w:lang w:val="en-US"/>
              </w:rPr>
              <w:t>落后</w:t>
            </w:r>
            <w:r>
              <w:rPr>
                <w:rFonts w:hint="eastAsia" w:cs="宋体"/>
                <w:sz w:val="22"/>
                <w:szCs w:val="22"/>
                <w:lang w:val="en-US" w:eastAsia="zh-CN"/>
              </w:rPr>
              <w:t>产线、猪场、基地生产成绩</w:t>
            </w:r>
            <w:r>
              <w:rPr>
                <w:rFonts w:hint="eastAsia" w:ascii="宋体" w:hAnsi="宋体" w:eastAsia="宋体" w:cs="宋体"/>
                <w:sz w:val="22"/>
                <w:szCs w:val="22"/>
                <w:lang w:val="en-US"/>
              </w:rPr>
              <w:t>，</w:t>
            </w:r>
            <w:r>
              <w:rPr>
                <w:rFonts w:hint="eastAsia" w:cs="宋体"/>
                <w:sz w:val="22"/>
                <w:szCs w:val="22"/>
                <w:lang w:val="en-US" w:eastAsia="zh-CN"/>
              </w:rPr>
              <w:t>管控并缩小</w:t>
            </w:r>
            <w:r>
              <w:rPr>
                <w:rFonts w:hint="eastAsia" w:ascii="宋体" w:hAnsi="宋体" w:eastAsia="宋体" w:cs="宋体"/>
                <w:sz w:val="22"/>
                <w:szCs w:val="22"/>
                <w:lang w:val="en-US"/>
              </w:rPr>
              <w:t>养殖成本离散度，实现养殖成本的</w:t>
            </w:r>
            <w:r>
              <w:rPr>
                <w:rFonts w:hint="eastAsia" w:cs="宋体"/>
                <w:sz w:val="22"/>
                <w:szCs w:val="22"/>
                <w:lang w:val="en-US" w:eastAsia="zh-CN"/>
              </w:rPr>
              <w:t>整体下探和持续改进</w:t>
            </w:r>
            <w:r>
              <w:rPr>
                <w:rFonts w:hint="eastAsia" w:ascii="宋体" w:hAnsi="宋体" w:eastAsia="宋体" w:cs="宋体"/>
                <w:sz w:val="22"/>
                <w:szCs w:val="22"/>
                <w:lang w:val="en-US"/>
              </w:rPr>
              <w:t>，</w:t>
            </w:r>
            <w:r>
              <w:rPr>
                <w:rFonts w:hint="eastAsia" w:cs="宋体"/>
                <w:sz w:val="22"/>
                <w:szCs w:val="22"/>
                <w:lang w:val="en-US" w:eastAsia="zh-CN"/>
              </w:rPr>
              <w:t>从而</w:t>
            </w:r>
            <w:r>
              <w:rPr>
                <w:rFonts w:hint="eastAsia" w:ascii="宋体" w:hAnsi="宋体" w:eastAsia="宋体" w:cs="宋体"/>
                <w:sz w:val="22"/>
                <w:szCs w:val="22"/>
                <w:lang w:val="en-US"/>
              </w:rPr>
              <w:t>提升</w:t>
            </w:r>
            <w:r>
              <w:rPr>
                <w:rFonts w:hint="eastAsia" w:cs="宋体"/>
                <w:sz w:val="22"/>
                <w:szCs w:val="22"/>
                <w:lang w:val="en-US" w:eastAsia="zh-CN"/>
              </w:rPr>
              <w:t>公司</w:t>
            </w:r>
            <w:r>
              <w:rPr>
                <w:rFonts w:hint="eastAsia" w:ascii="宋体" w:hAnsi="宋体" w:eastAsia="宋体" w:cs="宋体"/>
                <w:sz w:val="22"/>
                <w:szCs w:val="22"/>
                <w:lang w:val="en-US"/>
              </w:rPr>
              <w:t>盈利</w:t>
            </w:r>
            <w:r>
              <w:rPr>
                <w:rFonts w:hint="eastAsia" w:cs="宋体"/>
                <w:sz w:val="22"/>
                <w:szCs w:val="22"/>
                <w:lang w:val="en-US" w:eastAsia="zh-CN"/>
              </w:rPr>
              <w:t>能力和业绩</w:t>
            </w:r>
            <w:r>
              <w:rPr>
                <w:rFonts w:hint="eastAsia" w:ascii="宋体" w:hAnsi="宋体" w:eastAsia="宋体" w:cs="宋体"/>
                <w:sz w:val="22"/>
                <w:szCs w:val="22"/>
                <w:lang w:val="en-US"/>
              </w:rPr>
              <w:t>水平。</w:t>
            </w:r>
            <w:bookmarkStart w:id="1" w:name="_GoBack"/>
            <w:bookmarkEnd w:id="1"/>
          </w:p>
        </w:tc>
      </w:tr>
      <w:tr w14:paraId="607A06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jc w:val="center"/>
        </w:trPr>
        <w:tc>
          <w:tcPr>
            <w:tcW w:w="1160" w:type="pct"/>
            <w:tcBorders>
              <w:top w:val="single" w:color="000000" w:sz="6" w:space="0"/>
              <w:bottom w:val="single" w:color="000000" w:sz="6" w:space="0"/>
              <w:right w:val="single" w:color="000000" w:sz="6" w:space="0"/>
            </w:tcBorders>
            <w:vAlign w:val="center"/>
          </w:tcPr>
          <w:p w14:paraId="22603D08">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rPr>
              <w:t>附件清单（如有）</w:t>
            </w:r>
          </w:p>
        </w:tc>
        <w:tc>
          <w:tcPr>
            <w:tcW w:w="3839" w:type="pct"/>
            <w:gridSpan w:val="3"/>
            <w:tcBorders>
              <w:top w:val="single" w:color="000000" w:sz="6" w:space="0"/>
              <w:left w:val="single" w:color="000000" w:sz="6" w:space="0"/>
              <w:bottom w:val="single" w:color="000000" w:sz="6" w:space="0"/>
            </w:tcBorders>
            <w:vAlign w:val="center"/>
          </w:tcPr>
          <w:p w14:paraId="2D417945">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lang w:val="en-US"/>
              </w:rPr>
            </w:pPr>
            <w:r>
              <w:rPr>
                <w:rFonts w:hint="eastAsia"/>
                <w:sz w:val="22"/>
                <w:szCs w:val="22"/>
              </w:rPr>
              <w:t>无</w:t>
            </w:r>
          </w:p>
        </w:tc>
      </w:tr>
      <w:tr w14:paraId="4572C8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9" w:hRule="atLeast"/>
          <w:jc w:val="center"/>
        </w:trPr>
        <w:tc>
          <w:tcPr>
            <w:tcW w:w="1160" w:type="pct"/>
            <w:tcBorders>
              <w:top w:val="single" w:color="000000" w:sz="6" w:space="0"/>
              <w:bottom w:val="single" w:color="000000" w:sz="6" w:space="0"/>
              <w:right w:val="single" w:color="000000" w:sz="6" w:space="0"/>
            </w:tcBorders>
            <w:vAlign w:val="center"/>
          </w:tcPr>
          <w:p w14:paraId="7C202EBB">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rPr>
            </w:pPr>
            <w:r>
              <w:rPr>
                <w:rFonts w:hint="eastAsia"/>
                <w:b/>
                <w:bCs/>
                <w:sz w:val="22"/>
                <w:szCs w:val="22"/>
                <w:lang w:val="en-US"/>
              </w:rPr>
              <w:t>日期</w:t>
            </w:r>
          </w:p>
        </w:tc>
        <w:tc>
          <w:tcPr>
            <w:tcW w:w="3839" w:type="pct"/>
            <w:gridSpan w:val="3"/>
            <w:tcBorders>
              <w:top w:val="single" w:color="000000" w:sz="6" w:space="0"/>
              <w:left w:val="single" w:color="000000" w:sz="6" w:space="0"/>
              <w:bottom w:val="single" w:color="000000" w:sz="6" w:space="0"/>
            </w:tcBorders>
            <w:vAlign w:val="center"/>
          </w:tcPr>
          <w:p w14:paraId="6C252084">
            <w:pPr>
              <w:pStyle w:val="14"/>
              <w:keepNext w:val="0"/>
              <w:keepLines w:val="0"/>
              <w:pageBreakBefore w:val="0"/>
              <w:widowControl w:val="0"/>
              <w:kinsoku/>
              <w:wordWrap/>
              <w:overflowPunct/>
              <w:topLinePunct w:val="0"/>
              <w:bidi w:val="0"/>
              <w:adjustRightInd/>
              <w:snapToGrid/>
              <w:spacing w:line="420" w:lineRule="exact"/>
              <w:textAlignment w:val="auto"/>
              <w:rPr>
                <w:rFonts w:hint="eastAsia"/>
                <w:sz w:val="22"/>
                <w:szCs w:val="22"/>
                <w:lang w:val="en-US"/>
              </w:rPr>
            </w:pPr>
            <w:r>
              <w:rPr>
                <w:rFonts w:hint="eastAsia"/>
                <w:sz w:val="22"/>
                <w:szCs w:val="22"/>
                <w:lang w:val="en-US"/>
              </w:rPr>
              <w:t>2025年1</w:t>
            </w:r>
            <w:r>
              <w:rPr>
                <w:rFonts w:hint="eastAsia"/>
                <w:sz w:val="22"/>
                <w:szCs w:val="22"/>
                <w:lang w:val="en-US" w:eastAsia="zh-CN"/>
              </w:rPr>
              <w:t>1</w:t>
            </w:r>
            <w:r>
              <w:rPr>
                <w:rFonts w:hint="eastAsia"/>
                <w:sz w:val="22"/>
                <w:szCs w:val="22"/>
                <w:lang w:val="en-US"/>
              </w:rPr>
              <w:t>月</w:t>
            </w:r>
            <w:r>
              <w:rPr>
                <w:rFonts w:hint="eastAsia"/>
                <w:sz w:val="22"/>
                <w:szCs w:val="22"/>
                <w:lang w:val="en-US" w:eastAsia="zh-CN"/>
              </w:rPr>
              <w:t>14</w:t>
            </w:r>
            <w:r>
              <w:rPr>
                <w:rFonts w:hint="eastAsia"/>
                <w:sz w:val="22"/>
                <w:szCs w:val="22"/>
                <w:lang w:val="en-US"/>
              </w:rPr>
              <w:t>日</w:t>
            </w:r>
            <w:r>
              <w:rPr>
                <w:rFonts w:hint="eastAsia"/>
                <w:sz w:val="22"/>
                <w:szCs w:val="22"/>
                <w:lang w:val="en-US" w:eastAsia="zh-CN"/>
              </w:rPr>
              <w:t>至12月2</w:t>
            </w:r>
            <w:r>
              <w:rPr>
                <w:rFonts w:hint="eastAsia"/>
                <w:sz w:val="22"/>
                <w:szCs w:val="22"/>
                <w:lang w:val="en-US"/>
              </w:rPr>
              <w:t>日</w:t>
            </w:r>
          </w:p>
        </w:tc>
      </w:tr>
      <w:tr w14:paraId="5D8B62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9" w:hRule="atLeast"/>
          <w:jc w:val="center"/>
        </w:trPr>
        <w:tc>
          <w:tcPr>
            <w:tcW w:w="1160" w:type="pct"/>
            <w:tcBorders>
              <w:top w:val="single" w:color="000000" w:sz="6" w:space="0"/>
              <w:bottom w:val="single" w:color="000000" w:sz="6" w:space="0"/>
              <w:right w:val="single" w:color="000000" w:sz="6" w:space="0"/>
            </w:tcBorders>
            <w:vAlign w:val="center"/>
          </w:tcPr>
          <w:p w14:paraId="6880AED7">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sz w:val="22"/>
                <w:szCs w:val="22"/>
                <w:lang w:val="en-US"/>
              </w:rPr>
            </w:pPr>
            <w:r>
              <w:rPr>
                <w:rFonts w:hint="eastAsia"/>
                <w:b/>
                <w:bCs/>
                <w:sz w:val="22"/>
                <w:szCs w:val="22"/>
                <w:lang w:val="en-US"/>
              </w:rPr>
              <w:t>重要提示</w:t>
            </w:r>
          </w:p>
        </w:tc>
        <w:tc>
          <w:tcPr>
            <w:tcW w:w="3839" w:type="pct"/>
            <w:gridSpan w:val="3"/>
            <w:tcBorders>
              <w:top w:val="single" w:color="000000" w:sz="6" w:space="0"/>
              <w:left w:val="single" w:color="000000" w:sz="6" w:space="0"/>
              <w:bottom w:val="single" w:color="000000" w:sz="6" w:space="0"/>
            </w:tcBorders>
            <w:vAlign w:val="center"/>
          </w:tcPr>
          <w:p w14:paraId="6BB85D86">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b/>
                <w:bCs/>
                <w:sz w:val="22"/>
                <w:szCs w:val="22"/>
                <w:lang w:val="en-US"/>
              </w:rPr>
            </w:pPr>
            <w:r>
              <w:rPr>
                <w:rFonts w:hint="eastAsia"/>
                <w:b/>
                <w:bCs/>
                <w:sz w:val="22"/>
                <w:szCs w:val="22"/>
                <w:lang w:val="en-US"/>
              </w:rPr>
              <w:t>公司郑重提醒如下：</w:t>
            </w:r>
          </w:p>
          <w:p w14:paraId="412BE317">
            <w:pPr>
              <w:pStyle w:val="14"/>
              <w:keepNext w:val="0"/>
              <w:keepLines w:val="0"/>
              <w:pageBreakBefore w:val="0"/>
              <w:widowControl w:val="0"/>
              <w:kinsoku/>
              <w:wordWrap/>
              <w:overflowPunct/>
              <w:topLinePunct w:val="0"/>
              <w:bidi w:val="0"/>
              <w:adjustRightInd/>
              <w:snapToGrid/>
              <w:spacing w:line="420" w:lineRule="exact"/>
              <w:ind w:firstLine="442" w:firstLineChars="200"/>
              <w:jc w:val="both"/>
              <w:textAlignment w:val="auto"/>
              <w:rPr>
                <w:rFonts w:hint="eastAsia"/>
                <w:b/>
                <w:bCs/>
                <w:sz w:val="22"/>
                <w:szCs w:val="22"/>
                <w:lang w:val="en-US"/>
              </w:rPr>
            </w:pPr>
            <w:r>
              <w:rPr>
                <w:rFonts w:hint="eastAsia"/>
                <w:b/>
                <w:bCs/>
                <w:sz w:val="22"/>
                <w:szCs w:val="22"/>
                <w:lang w:val="en-US"/>
              </w:rPr>
              <w:t>参与单位和人员由组织机构整理提供，鉴于参与单位和人员的数量较多，公司无法完全保证参与单位和人员的完整性、准确性，敬请投资者特别注意。</w:t>
            </w:r>
          </w:p>
          <w:p w14:paraId="62701288">
            <w:pPr>
              <w:pStyle w:val="14"/>
              <w:keepNext w:val="0"/>
              <w:keepLines w:val="0"/>
              <w:pageBreakBefore w:val="0"/>
              <w:widowControl w:val="0"/>
              <w:kinsoku/>
              <w:wordWrap/>
              <w:overflowPunct/>
              <w:topLinePunct w:val="0"/>
              <w:bidi w:val="0"/>
              <w:adjustRightInd/>
              <w:snapToGrid/>
              <w:spacing w:line="420" w:lineRule="exact"/>
              <w:ind w:firstLine="442" w:firstLineChars="200"/>
              <w:jc w:val="both"/>
              <w:textAlignment w:val="auto"/>
              <w:rPr>
                <w:rFonts w:hint="eastAsia"/>
                <w:b/>
                <w:bCs/>
                <w:sz w:val="22"/>
                <w:szCs w:val="22"/>
                <w:lang w:val="en-US"/>
              </w:rPr>
            </w:pPr>
            <w:r>
              <w:rPr>
                <w:rFonts w:hint="eastAsia"/>
                <w:b/>
                <w:bCs/>
                <w:sz w:val="22"/>
                <w:szCs w:val="22"/>
                <w:lang w:val="en-US"/>
              </w:rPr>
              <w:t>以上内容如涉及行业预测研判、公司发展战略、公司经营计划等相关内容，均不构成公司的实质性承诺和保证，敬请广大投资者审慎决策，理性投资，注意风险。</w:t>
            </w:r>
          </w:p>
        </w:tc>
      </w:tr>
    </w:tbl>
    <w:p w14:paraId="2C3A3B09">
      <w:pPr>
        <w:spacing w:line="48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32DFC"/>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2078EB"/>
    <w:rsid w:val="01396E1E"/>
    <w:rsid w:val="015F5965"/>
    <w:rsid w:val="017B7436"/>
    <w:rsid w:val="01A52705"/>
    <w:rsid w:val="01B464A4"/>
    <w:rsid w:val="01C26E13"/>
    <w:rsid w:val="020E02AA"/>
    <w:rsid w:val="022C24DE"/>
    <w:rsid w:val="02346ABB"/>
    <w:rsid w:val="024C18BD"/>
    <w:rsid w:val="02714395"/>
    <w:rsid w:val="02910C29"/>
    <w:rsid w:val="02C75822"/>
    <w:rsid w:val="02F92D08"/>
    <w:rsid w:val="03023B12"/>
    <w:rsid w:val="033E071B"/>
    <w:rsid w:val="03433F84"/>
    <w:rsid w:val="034F46D6"/>
    <w:rsid w:val="03667C72"/>
    <w:rsid w:val="0405748B"/>
    <w:rsid w:val="04073203"/>
    <w:rsid w:val="04365896"/>
    <w:rsid w:val="04453B3A"/>
    <w:rsid w:val="045035FE"/>
    <w:rsid w:val="045C354F"/>
    <w:rsid w:val="048E6375"/>
    <w:rsid w:val="04A76B24"/>
    <w:rsid w:val="04D8694E"/>
    <w:rsid w:val="04F012CE"/>
    <w:rsid w:val="050E4DFB"/>
    <w:rsid w:val="054D733B"/>
    <w:rsid w:val="055D6392"/>
    <w:rsid w:val="056A3A4A"/>
    <w:rsid w:val="05777F14"/>
    <w:rsid w:val="059005EC"/>
    <w:rsid w:val="05A607FA"/>
    <w:rsid w:val="05B169EF"/>
    <w:rsid w:val="05C80770"/>
    <w:rsid w:val="064A7E58"/>
    <w:rsid w:val="06606C84"/>
    <w:rsid w:val="06652463"/>
    <w:rsid w:val="06930D7E"/>
    <w:rsid w:val="069517C3"/>
    <w:rsid w:val="06A66D03"/>
    <w:rsid w:val="06C87A51"/>
    <w:rsid w:val="070954E4"/>
    <w:rsid w:val="073D0CEA"/>
    <w:rsid w:val="074B1659"/>
    <w:rsid w:val="076444C8"/>
    <w:rsid w:val="0790350F"/>
    <w:rsid w:val="07953C33"/>
    <w:rsid w:val="0797489E"/>
    <w:rsid w:val="07DB082D"/>
    <w:rsid w:val="07FE66CB"/>
    <w:rsid w:val="080A1514"/>
    <w:rsid w:val="081C23EE"/>
    <w:rsid w:val="08314658"/>
    <w:rsid w:val="086A722B"/>
    <w:rsid w:val="0874698D"/>
    <w:rsid w:val="08D13DE0"/>
    <w:rsid w:val="095523FA"/>
    <w:rsid w:val="09D02FE3"/>
    <w:rsid w:val="0A3C34DB"/>
    <w:rsid w:val="0A6842D0"/>
    <w:rsid w:val="0A7E1D45"/>
    <w:rsid w:val="0AB1211B"/>
    <w:rsid w:val="0AD019C3"/>
    <w:rsid w:val="0B143E90"/>
    <w:rsid w:val="0B372620"/>
    <w:rsid w:val="0B3F3282"/>
    <w:rsid w:val="0BCB2D68"/>
    <w:rsid w:val="0BCB667F"/>
    <w:rsid w:val="0C2C33CB"/>
    <w:rsid w:val="0C3721AC"/>
    <w:rsid w:val="0C48085D"/>
    <w:rsid w:val="0C54227B"/>
    <w:rsid w:val="0C6D1CE1"/>
    <w:rsid w:val="0C7358DA"/>
    <w:rsid w:val="0C767F6B"/>
    <w:rsid w:val="0C7B653C"/>
    <w:rsid w:val="0C8D626F"/>
    <w:rsid w:val="0CC7352F"/>
    <w:rsid w:val="0D0D37A8"/>
    <w:rsid w:val="0D295F98"/>
    <w:rsid w:val="0D5200C9"/>
    <w:rsid w:val="0D9553DC"/>
    <w:rsid w:val="0D9F625A"/>
    <w:rsid w:val="0E107158"/>
    <w:rsid w:val="0E4F36CC"/>
    <w:rsid w:val="0EA578A0"/>
    <w:rsid w:val="0EB16245"/>
    <w:rsid w:val="0EC3241C"/>
    <w:rsid w:val="0EC95C85"/>
    <w:rsid w:val="0EDC703A"/>
    <w:rsid w:val="0EF44384"/>
    <w:rsid w:val="0F0A1DF9"/>
    <w:rsid w:val="0F2E7C9C"/>
    <w:rsid w:val="0F3A0791"/>
    <w:rsid w:val="0F451083"/>
    <w:rsid w:val="0F56503F"/>
    <w:rsid w:val="0F6E05DA"/>
    <w:rsid w:val="0F953184"/>
    <w:rsid w:val="0FC621C4"/>
    <w:rsid w:val="0FC65D20"/>
    <w:rsid w:val="0FF01911"/>
    <w:rsid w:val="0FFF1232"/>
    <w:rsid w:val="10003D03"/>
    <w:rsid w:val="10305890"/>
    <w:rsid w:val="105E064F"/>
    <w:rsid w:val="108005C5"/>
    <w:rsid w:val="10817E99"/>
    <w:rsid w:val="10B262A5"/>
    <w:rsid w:val="10B4026F"/>
    <w:rsid w:val="10D47958"/>
    <w:rsid w:val="10D73F5D"/>
    <w:rsid w:val="11034D52"/>
    <w:rsid w:val="11365128"/>
    <w:rsid w:val="11496C09"/>
    <w:rsid w:val="114A2981"/>
    <w:rsid w:val="1158509E"/>
    <w:rsid w:val="115E01DA"/>
    <w:rsid w:val="118E0AC0"/>
    <w:rsid w:val="11A42091"/>
    <w:rsid w:val="11BF511D"/>
    <w:rsid w:val="125E5E40"/>
    <w:rsid w:val="12D509AD"/>
    <w:rsid w:val="1300779B"/>
    <w:rsid w:val="134753CA"/>
    <w:rsid w:val="13B30CB1"/>
    <w:rsid w:val="13D11138"/>
    <w:rsid w:val="13DD5D2E"/>
    <w:rsid w:val="13E0137B"/>
    <w:rsid w:val="14074B59"/>
    <w:rsid w:val="14101C60"/>
    <w:rsid w:val="147E306D"/>
    <w:rsid w:val="148F7029"/>
    <w:rsid w:val="14AE3227"/>
    <w:rsid w:val="14C747AB"/>
    <w:rsid w:val="14D25167"/>
    <w:rsid w:val="14F74BCE"/>
    <w:rsid w:val="15001CD4"/>
    <w:rsid w:val="153E0A4F"/>
    <w:rsid w:val="161E0045"/>
    <w:rsid w:val="16210154"/>
    <w:rsid w:val="162437A1"/>
    <w:rsid w:val="16810BF3"/>
    <w:rsid w:val="169E79F7"/>
    <w:rsid w:val="169F376F"/>
    <w:rsid w:val="16B03286"/>
    <w:rsid w:val="16F05D79"/>
    <w:rsid w:val="171001C9"/>
    <w:rsid w:val="173E0892"/>
    <w:rsid w:val="1771220A"/>
    <w:rsid w:val="177D51E7"/>
    <w:rsid w:val="178D35C8"/>
    <w:rsid w:val="17C76AD9"/>
    <w:rsid w:val="17CD1C16"/>
    <w:rsid w:val="17DD00AB"/>
    <w:rsid w:val="17E21B65"/>
    <w:rsid w:val="17E51656"/>
    <w:rsid w:val="17F3167D"/>
    <w:rsid w:val="18187335"/>
    <w:rsid w:val="183879D7"/>
    <w:rsid w:val="183D6D9C"/>
    <w:rsid w:val="183E3F37"/>
    <w:rsid w:val="1869193F"/>
    <w:rsid w:val="18824AD6"/>
    <w:rsid w:val="188C387F"/>
    <w:rsid w:val="18B62EA4"/>
    <w:rsid w:val="18D15DBA"/>
    <w:rsid w:val="18FF22A3"/>
    <w:rsid w:val="19273169"/>
    <w:rsid w:val="19466E27"/>
    <w:rsid w:val="196D545F"/>
    <w:rsid w:val="197C1B46"/>
    <w:rsid w:val="199450E1"/>
    <w:rsid w:val="19B65058"/>
    <w:rsid w:val="1A0318E8"/>
    <w:rsid w:val="1A3146DE"/>
    <w:rsid w:val="1A3B555D"/>
    <w:rsid w:val="1A566023"/>
    <w:rsid w:val="1AC11F06"/>
    <w:rsid w:val="1ACE4623"/>
    <w:rsid w:val="1B43291B"/>
    <w:rsid w:val="1B46065D"/>
    <w:rsid w:val="1B5667A8"/>
    <w:rsid w:val="1B796AD5"/>
    <w:rsid w:val="1B9B4505"/>
    <w:rsid w:val="1BCA303C"/>
    <w:rsid w:val="1BD23C9F"/>
    <w:rsid w:val="1C041FBD"/>
    <w:rsid w:val="1C080DA8"/>
    <w:rsid w:val="1C0A3439"/>
    <w:rsid w:val="1C5823F6"/>
    <w:rsid w:val="1CA1729E"/>
    <w:rsid w:val="1CB82E95"/>
    <w:rsid w:val="1D2422D8"/>
    <w:rsid w:val="1D295B40"/>
    <w:rsid w:val="1D3139D9"/>
    <w:rsid w:val="1D9751A0"/>
    <w:rsid w:val="1DF86605"/>
    <w:rsid w:val="1E0D7210"/>
    <w:rsid w:val="1E214681"/>
    <w:rsid w:val="1E2E78B2"/>
    <w:rsid w:val="1E470974"/>
    <w:rsid w:val="1E8F1635"/>
    <w:rsid w:val="1F417171"/>
    <w:rsid w:val="1F520C33"/>
    <w:rsid w:val="1F7D440A"/>
    <w:rsid w:val="1FC436EF"/>
    <w:rsid w:val="201C373B"/>
    <w:rsid w:val="20280331"/>
    <w:rsid w:val="20360D2B"/>
    <w:rsid w:val="204A474C"/>
    <w:rsid w:val="20607ACB"/>
    <w:rsid w:val="20692C6F"/>
    <w:rsid w:val="209634ED"/>
    <w:rsid w:val="20D12777"/>
    <w:rsid w:val="21076199"/>
    <w:rsid w:val="21260D15"/>
    <w:rsid w:val="214271D1"/>
    <w:rsid w:val="219C0FD7"/>
    <w:rsid w:val="21AE3541"/>
    <w:rsid w:val="222608A0"/>
    <w:rsid w:val="222A213F"/>
    <w:rsid w:val="22433200"/>
    <w:rsid w:val="224A27E1"/>
    <w:rsid w:val="225278E7"/>
    <w:rsid w:val="22850ED9"/>
    <w:rsid w:val="228641B0"/>
    <w:rsid w:val="22941CAE"/>
    <w:rsid w:val="22BD3143"/>
    <w:rsid w:val="22D14C8F"/>
    <w:rsid w:val="22EA7B20"/>
    <w:rsid w:val="233314C7"/>
    <w:rsid w:val="2351194D"/>
    <w:rsid w:val="2369313B"/>
    <w:rsid w:val="23AE6D9F"/>
    <w:rsid w:val="23C325CA"/>
    <w:rsid w:val="23C860B3"/>
    <w:rsid w:val="24155071"/>
    <w:rsid w:val="241C01AD"/>
    <w:rsid w:val="24340AE1"/>
    <w:rsid w:val="243F3E9B"/>
    <w:rsid w:val="246649A5"/>
    <w:rsid w:val="246C2EE2"/>
    <w:rsid w:val="247D50F0"/>
    <w:rsid w:val="24945F95"/>
    <w:rsid w:val="249E6E14"/>
    <w:rsid w:val="24A51F50"/>
    <w:rsid w:val="24D64800"/>
    <w:rsid w:val="24F609FE"/>
    <w:rsid w:val="24FD7FDE"/>
    <w:rsid w:val="25181F7F"/>
    <w:rsid w:val="25584F97"/>
    <w:rsid w:val="25826736"/>
    <w:rsid w:val="258C4EBE"/>
    <w:rsid w:val="25D36F91"/>
    <w:rsid w:val="25F5515A"/>
    <w:rsid w:val="2604539D"/>
    <w:rsid w:val="262670C1"/>
    <w:rsid w:val="265256F1"/>
    <w:rsid w:val="267B565F"/>
    <w:rsid w:val="26BE554B"/>
    <w:rsid w:val="26D134D1"/>
    <w:rsid w:val="26EB3E67"/>
    <w:rsid w:val="26ED4885"/>
    <w:rsid w:val="26F45411"/>
    <w:rsid w:val="273121C1"/>
    <w:rsid w:val="27473793"/>
    <w:rsid w:val="274E68CF"/>
    <w:rsid w:val="275A389E"/>
    <w:rsid w:val="27677991"/>
    <w:rsid w:val="277545A1"/>
    <w:rsid w:val="278B7B24"/>
    <w:rsid w:val="279F35CF"/>
    <w:rsid w:val="280F389E"/>
    <w:rsid w:val="283E6C8E"/>
    <w:rsid w:val="287E4F92"/>
    <w:rsid w:val="28F45255"/>
    <w:rsid w:val="292024ED"/>
    <w:rsid w:val="292F425E"/>
    <w:rsid w:val="294E0E09"/>
    <w:rsid w:val="298A6873"/>
    <w:rsid w:val="29A46172"/>
    <w:rsid w:val="29F00112"/>
    <w:rsid w:val="2A043BBD"/>
    <w:rsid w:val="2A24600D"/>
    <w:rsid w:val="2A732C8B"/>
    <w:rsid w:val="2ADC2444"/>
    <w:rsid w:val="2AE00186"/>
    <w:rsid w:val="2B027480"/>
    <w:rsid w:val="2B3B360F"/>
    <w:rsid w:val="2B517236"/>
    <w:rsid w:val="2B9E76FA"/>
    <w:rsid w:val="2BA2368E"/>
    <w:rsid w:val="2BCE6231"/>
    <w:rsid w:val="2BD001FB"/>
    <w:rsid w:val="2C581F9E"/>
    <w:rsid w:val="2C7548FE"/>
    <w:rsid w:val="2C8608B9"/>
    <w:rsid w:val="2C8B71C7"/>
    <w:rsid w:val="2C8C39F6"/>
    <w:rsid w:val="2CA945A8"/>
    <w:rsid w:val="2CB27900"/>
    <w:rsid w:val="2CC97E56"/>
    <w:rsid w:val="2CE30BDD"/>
    <w:rsid w:val="2D2307FE"/>
    <w:rsid w:val="2D3C366E"/>
    <w:rsid w:val="2D574004"/>
    <w:rsid w:val="2D72626E"/>
    <w:rsid w:val="2DB63420"/>
    <w:rsid w:val="2DB75880"/>
    <w:rsid w:val="2DCD42C6"/>
    <w:rsid w:val="2DD438A6"/>
    <w:rsid w:val="2DF13201"/>
    <w:rsid w:val="2DF87595"/>
    <w:rsid w:val="2E255EB0"/>
    <w:rsid w:val="2E7E623A"/>
    <w:rsid w:val="2E84707B"/>
    <w:rsid w:val="2E89643F"/>
    <w:rsid w:val="2E903C71"/>
    <w:rsid w:val="2EA96AE1"/>
    <w:rsid w:val="2EE14754"/>
    <w:rsid w:val="2EF22236"/>
    <w:rsid w:val="2F2B1BEC"/>
    <w:rsid w:val="2F884949"/>
    <w:rsid w:val="2FC736C3"/>
    <w:rsid w:val="2FF53BE5"/>
    <w:rsid w:val="30032221"/>
    <w:rsid w:val="30332C85"/>
    <w:rsid w:val="3046098A"/>
    <w:rsid w:val="3086532C"/>
    <w:rsid w:val="30AE4883"/>
    <w:rsid w:val="30B023A9"/>
    <w:rsid w:val="30BA6F50"/>
    <w:rsid w:val="30C61BCC"/>
    <w:rsid w:val="30EC0F07"/>
    <w:rsid w:val="30EF74E3"/>
    <w:rsid w:val="31324B8F"/>
    <w:rsid w:val="313F7C11"/>
    <w:rsid w:val="31A31F0E"/>
    <w:rsid w:val="31CD6F8B"/>
    <w:rsid w:val="31DF0848"/>
    <w:rsid w:val="31E84557"/>
    <w:rsid w:val="31F14A27"/>
    <w:rsid w:val="322841C1"/>
    <w:rsid w:val="326F1DF0"/>
    <w:rsid w:val="32832EEF"/>
    <w:rsid w:val="329D070B"/>
    <w:rsid w:val="32B617CD"/>
    <w:rsid w:val="32D06D32"/>
    <w:rsid w:val="32E4633A"/>
    <w:rsid w:val="32F21E69"/>
    <w:rsid w:val="32FE389F"/>
    <w:rsid w:val="330259E4"/>
    <w:rsid w:val="330861DE"/>
    <w:rsid w:val="33122EA7"/>
    <w:rsid w:val="33264BA4"/>
    <w:rsid w:val="333A41AC"/>
    <w:rsid w:val="33492641"/>
    <w:rsid w:val="339F3E6E"/>
    <w:rsid w:val="33A352A1"/>
    <w:rsid w:val="34060532"/>
    <w:rsid w:val="341669C7"/>
    <w:rsid w:val="34897674"/>
    <w:rsid w:val="349F69BC"/>
    <w:rsid w:val="34A22009"/>
    <w:rsid w:val="34AE4E51"/>
    <w:rsid w:val="34C44675"/>
    <w:rsid w:val="34E24AFB"/>
    <w:rsid w:val="350B22A4"/>
    <w:rsid w:val="3511718E"/>
    <w:rsid w:val="35584DBD"/>
    <w:rsid w:val="35867B7C"/>
    <w:rsid w:val="35E16362"/>
    <w:rsid w:val="361E7DB5"/>
    <w:rsid w:val="36525CB0"/>
    <w:rsid w:val="36B44275"/>
    <w:rsid w:val="36BD6A42"/>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26A82"/>
    <w:rsid w:val="38E726E0"/>
    <w:rsid w:val="39180AEB"/>
    <w:rsid w:val="39264B2C"/>
    <w:rsid w:val="393D286A"/>
    <w:rsid w:val="394C4C39"/>
    <w:rsid w:val="3951224F"/>
    <w:rsid w:val="39551D3F"/>
    <w:rsid w:val="399C796E"/>
    <w:rsid w:val="39B527DE"/>
    <w:rsid w:val="3A005299"/>
    <w:rsid w:val="3A03182B"/>
    <w:rsid w:val="3A0A4C3A"/>
    <w:rsid w:val="3A371445"/>
    <w:rsid w:val="3A60099C"/>
    <w:rsid w:val="3A620996"/>
    <w:rsid w:val="3A8A3C6B"/>
    <w:rsid w:val="3AB26D1E"/>
    <w:rsid w:val="3ABA2F1F"/>
    <w:rsid w:val="3AC46CFD"/>
    <w:rsid w:val="3AE0388B"/>
    <w:rsid w:val="3AF1337E"/>
    <w:rsid w:val="3B2220F5"/>
    <w:rsid w:val="3B273268"/>
    <w:rsid w:val="3B871F58"/>
    <w:rsid w:val="3B8A37F6"/>
    <w:rsid w:val="3BB32D4D"/>
    <w:rsid w:val="3BC27434"/>
    <w:rsid w:val="3BFDD941"/>
    <w:rsid w:val="3C2505B3"/>
    <w:rsid w:val="3C3245BA"/>
    <w:rsid w:val="3C494D52"/>
    <w:rsid w:val="3C552025"/>
    <w:rsid w:val="3C5A141B"/>
    <w:rsid w:val="3CB52AF5"/>
    <w:rsid w:val="3CB60D47"/>
    <w:rsid w:val="3CB70371"/>
    <w:rsid w:val="3CC52D38"/>
    <w:rsid w:val="3D15341C"/>
    <w:rsid w:val="3D2C1326"/>
    <w:rsid w:val="3D536596"/>
    <w:rsid w:val="3D5B18EE"/>
    <w:rsid w:val="3D7F382F"/>
    <w:rsid w:val="3D7F55DD"/>
    <w:rsid w:val="3D9A41C5"/>
    <w:rsid w:val="3DCE0312"/>
    <w:rsid w:val="3E14487B"/>
    <w:rsid w:val="3E151A9D"/>
    <w:rsid w:val="3E4D72C5"/>
    <w:rsid w:val="3E5D60F8"/>
    <w:rsid w:val="3E5E1696"/>
    <w:rsid w:val="3E770C94"/>
    <w:rsid w:val="3E7964D0"/>
    <w:rsid w:val="3E8E35FE"/>
    <w:rsid w:val="3EB017C6"/>
    <w:rsid w:val="3EBA2645"/>
    <w:rsid w:val="3F6D0AAA"/>
    <w:rsid w:val="3F8F762D"/>
    <w:rsid w:val="3FA27361"/>
    <w:rsid w:val="403D352D"/>
    <w:rsid w:val="40550877"/>
    <w:rsid w:val="405D094D"/>
    <w:rsid w:val="408F1FDB"/>
    <w:rsid w:val="40DB783A"/>
    <w:rsid w:val="40ED4F53"/>
    <w:rsid w:val="410F31A3"/>
    <w:rsid w:val="4114603C"/>
    <w:rsid w:val="413E7700"/>
    <w:rsid w:val="41456B3D"/>
    <w:rsid w:val="41517290"/>
    <w:rsid w:val="418E780E"/>
    <w:rsid w:val="41D028AB"/>
    <w:rsid w:val="41E9571B"/>
    <w:rsid w:val="41E974C9"/>
    <w:rsid w:val="41F540C0"/>
    <w:rsid w:val="41FA0169"/>
    <w:rsid w:val="420460B1"/>
    <w:rsid w:val="42091919"/>
    <w:rsid w:val="420F2749"/>
    <w:rsid w:val="423A5F76"/>
    <w:rsid w:val="42BD2703"/>
    <w:rsid w:val="42C615B8"/>
    <w:rsid w:val="42FE6FA4"/>
    <w:rsid w:val="430F7403"/>
    <w:rsid w:val="43122A4F"/>
    <w:rsid w:val="431237F5"/>
    <w:rsid w:val="433C7ACC"/>
    <w:rsid w:val="435272F0"/>
    <w:rsid w:val="435B2648"/>
    <w:rsid w:val="43713C1A"/>
    <w:rsid w:val="439416B6"/>
    <w:rsid w:val="43A833B4"/>
    <w:rsid w:val="43E4263E"/>
    <w:rsid w:val="4419328C"/>
    <w:rsid w:val="441B5933"/>
    <w:rsid w:val="442944F4"/>
    <w:rsid w:val="443E41B9"/>
    <w:rsid w:val="447D039C"/>
    <w:rsid w:val="44AA4E01"/>
    <w:rsid w:val="44B87280"/>
    <w:rsid w:val="44DA134B"/>
    <w:rsid w:val="45012D7B"/>
    <w:rsid w:val="45362EF5"/>
    <w:rsid w:val="45724BB3"/>
    <w:rsid w:val="4594599D"/>
    <w:rsid w:val="45B222C8"/>
    <w:rsid w:val="45C142B9"/>
    <w:rsid w:val="45C83899"/>
    <w:rsid w:val="45D43FEC"/>
    <w:rsid w:val="46114F0F"/>
    <w:rsid w:val="46D63D94"/>
    <w:rsid w:val="46D83FB0"/>
    <w:rsid w:val="46FF32EA"/>
    <w:rsid w:val="47507FEA"/>
    <w:rsid w:val="47590C4D"/>
    <w:rsid w:val="477414D3"/>
    <w:rsid w:val="47874069"/>
    <w:rsid w:val="47897ABA"/>
    <w:rsid w:val="47A15B48"/>
    <w:rsid w:val="47AD0F98"/>
    <w:rsid w:val="48256D81"/>
    <w:rsid w:val="48600223"/>
    <w:rsid w:val="486615C5"/>
    <w:rsid w:val="48671147"/>
    <w:rsid w:val="486D24D6"/>
    <w:rsid w:val="48763A80"/>
    <w:rsid w:val="48F16866"/>
    <w:rsid w:val="49331971"/>
    <w:rsid w:val="49584F34"/>
    <w:rsid w:val="495950DE"/>
    <w:rsid w:val="496D4E83"/>
    <w:rsid w:val="49A92C07"/>
    <w:rsid w:val="49ED38CE"/>
    <w:rsid w:val="49EF5898"/>
    <w:rsid w:val="49FB248F"/>
    <w:rsid w:val="4A121587"/>
    <w:rsid w:val="4A143551"/>
    <w:rsid w:val="4A4756D4"/>
    <w:rsid w:val="4A90104A"/>
    <w:rsid w:val="4B3E127F"/>
    <w:rsid w:val="4B460B4B"/>
    <w:rsid w:val="4B475260"/>
    <w:rsid w:val="4B78366B"/>
    <w:rsid w:val="4B7F0E9E"/>
    <w:rsid w:val="4BBD5522"/>
    <w:rsid w:val="4BD10EBA"/>
    <w:rsid w:val="4BE56F53"/>
    <w:rsid w:val="4C207C04"/>
    <w:rsid w:val="4C2630C7"/>
    <w:rsid w:val="4CA46E0E"/>
    <w:rsid w:val="4CA54934"/>
    <w:rsid w:val="4CAD7FC7"/>
    <w:rsid w:val="4CFB27A6"/>
    <w:rsid w:val="4D3B2BA3"/>
    <w:rsid w:val="4D502AF2"/>
    <w:rsid w:val="4D875DE8"/>
    <w:rsid w:val="4DA9212D"/>
    <w:rsid w:val="4DB36BDD"/>
    <w:rsid w:val="4E10402F"/>
    <w:rsid w:val="4E111574"/>
    <w:rsid w:val="4E437F61"/>
    <w:rsid w:val="4E516B22"/>
    <w:rsid w:val="4E5B79A0"/>
    <w:rsid w:val="4E5C7274"/>
    <w:rsid w:val="4E6D373C"/>
    <w:rsid w:val="4E775E5C"/>
    <w:rsid w:val="4E796078"/>
    <w:rsid w:val="4ED220E5"/>
    <w:rsid w:val="4F043B94"/>
    <w:rsid w:val="4F133DD7"/>
    <w:rsid w:val="4F42290E"/>
    <w:rsid w:val="4F4421E2"/>
    <w:rsid w:val="4F675ED1"/>
    <w:rsid w:val="4F894099"/>
    <w:rsid w:val="4F912F4E"/>
    <w:rsid w:val="4FCB46B2"/>
    <w:rsid w:val="50137E07"/>
    <w:rsid w:val="50327B53"/>
    <w:rsid w:val="503F0BFC"/>
    <w:rsid w:val="504A7CCC"/>
    <w:rsid w:val="505B3C87"/>
    <w:rsid w:val="506D5BA1"/>
    <w:rsid w:val="5099655E"/>
    <w:rsid w:val="509B2D47"/>
    <w:rsid w:val="50F96FFC"/>
    <w:rsid w:val="5124051D"/>
    <w:rsid w:val="513E0CF0"/>
    <w:rsid w:val="514048B2"/>
    <w:rsid w:val="514E559A"/>
    <w:rsid w:val="515B7795"/>
    <w:rsid w:val="51694182"/>
    <w:rsid w:val="516E1798"/>
    <w:rsid w:val="518C60C3"/>
    <w:rsid w:val="51B55619"/>
    <w:rsid w:val="51B80C66"/>
    <w:rsid w:val="51C30BDC"/>
    <w:rsid w:val="51C35D1F"/>
    <w:rsid w:val="51E56C3E"/>
    <w:rsid w:val="52036385"/>
    <w:rsid w:val="52100AA2"/>
    <w:rsid w:val="52224331"/>
    <w:rsid w:val="52315008"/>
    <w:rsid w:val="525766D1"/>
    <w:rsid w:val="5264494A"/>
    <w:rsid w:val="52750905"/>
    <w:rsid w:val="528374C6"/>
    <w:rsid w:val="529424D7"/>
    <w:rsid w:val="5294522F"/>
    <w:rsid w:val="52AB1C77"/>
    <w:rsid w:val="52AB5B97"/>
    <w:rsid w:val="52B23907"/>
    <w:rsid w:val="52E57838"/>
    <w:rsid w:val="52EB26AA"/>
    <w:rsid w:val="530A54F1"/>
    <w:rsid w:val="5326258A"/>
    <w:rsid w:val="533243C3"/>
    <w:rsid w:val="53346A12"/>
    <w:rsid w:val="538F3C48"/>
    <w:rsid w:val="53DF766E"/>
    <w:rsid w:val="53EC4BF7"/>
    <w:rsid w:val="54085ED4"/>
    <w:rsid w:val="541E4EFC"/>
    <w:rsid w:val="542720D3"/>
    <w:rsid w:val="54426960"/>
    <w:rsid w:val="54B55930"/>
    <w:rsid w:val="54C01DC9"/>
    <w:rsid w:val="54C94F38"/>
    <w:rsid w:val="54CE42D8"/>
    <w:rsid w:val="54E83610"/>
    <w:rsid w:val="54F226E1"/>
    <w:rsid w:val="55320D2F"/>
    <w:rsid w:val="5583158B"/>
    <w:rsid w:val="55A56229"/>
    <w:rsid w:val="55B65FCD"/>
    <w:rsid w:val="55F54236"/>
    <w:rsid w:val="55F935FB"/>
    <w:rsid w:val="56187F25"/>
    <w:rsid w:val="564451BE"/>
    <w:rsid w:val="566E223B"/>
    <w:rsid w:val="56B7773E"/>
    <w:rsid w:val="56D94B0E"/>
    <w:rsid w:val="574D3BFE"/>
    <w:rsid w:val="5765363E"/>
    <w:rsid w:val="57BE68AA"/>
    <w:rsid w:val="57E207EA"/>
    <w:rsid w:val="58405511"/>
    <w:rsid w:val="586E207E"/>
    <w:rsid w:val="587D5C68"/>
    <w:rsid w:val="58B77EC9"/>
    <w:rsid w:val="58C17724"/>
    <w:rsid w:val="58C3686E"/>
    <w:rsid w:val="58D00F8B"/>
    <w:rsid w:val="58D04124"/>
    <w:rsid w:val="58D75E75"/>
    <w:rsid w:val="58D77C23"/>
    <w:rsid w:val="58E660B8"/>
    <w:rsid w:val="59084281"/>
    <w:rsid w:val="592326DD"/>
    <w:rsid w:val="592D018B"/>
    <w:rsid w:val="59305585"/>
    <w:rsid w:val="598853C1"/>
    <w:rsid w:val="59C208D3"/>
    <w:rsid w:val="5A0233C6"/>
    <w:rsid w:val="5A132EDD"/>
    <w:rsid w:val="5A366BCB"/>
    <w:rsid w:val="5A655703"/>
    <w:rsid w:val="5A737A83"/>
    <w:rsid w:val="5A955E00"/>
    <w:rsid w:val="5AD20FEA"/>
    <w:rsid w:val="5AD25392"/>
    <w:rsid w:val="5B157290"/>
    <w:rsid w:val="5B1F3B03"/>
    <w:rsid w:val="5B70435F"/>
    <w:rsid w:val="5B767BC7"/>
    <w:rsid w:val="5B844C9A"/>
    <w:rsid w:val="5BC326E1"/>
    <w:rsid w:val="5BD5FD07"/>
    <w:rsid w:val="5C231D38"/>
    <w:rsid w:val="5C245875"/>
    <w:rsid w:val="5C337866"/>
    <w:rsid w:val="5C594DF3"/>
    <w:rsid w:val="5C891B7C"/>
    <w:rsid w:val="5CA50038"/>
    <w:rsid w:val="5CCB7615"/>
    <w:rsid w:val="5CD5729F"/>
    <w:rsid w:val="5D170F36"/>
    <w:rsid w:val="5D437F7D"/>
    <w:rsid w:val="5DB1138B"/>
    <w:rsid w:val="5DC53CD5"/>
    <w:rsid w:val="5DDC7654"/>
    <w:rsid w:val="5DFA2580"/>
    <w:rsid w:val="5E0E058B"/>
    <w:rsid w:val="5E116ACE"/>
    <w:rsid w:val="5E194573"/>
    <w:rsid w:val="5E395D33"/>
    <w:rsid w:val="5E48511F"/>
    <w:rsid w:val="5E5341F0"/>
    <w:rsid w:val="5E5835B4"/>
    <w:rsid w:val="5E6E2DD8"/>
    <w:rsid w:val="5E7E05A8"/>
    <w:rsid w:val="5E8E6FD6"/>
    <w:rsid w:val="5EA63795"/>
    <w:rsid w:val="5EBD5B0D"/>
    <w:rsid w:val="5F090D52"/>
    <w:rsid w:val="5F092B01"/>
    <w:rsid w:val="5F2C67EF"/>
    <w:rsid w:val="5F7E529D"/>
    <w:rsid w:val="5FBA204D"/>
    <w:rsid w:val="602A5424"/>
    <w:rsid w:val="60563B24"/>
    <w:rsid w:val="60620BA5"/>
    <w:rsid w:val="608B4120"/>
    <w:rsid w:val="60A01243"/>
    <w:rsid w:val="61073070"/>
    <w:rsid w:val="6139510F"/>
    <w:rsid w:val="61534507"/>
    <w:rsid w:val="61926DDD"/>
    <w:rsid w:val="61A92379"/>
    <w:rsid w:val="61AB7E9F"/>
    <w:rsid w:val="61BE64EE"/>
    <w:rsid w:val="61D07906"/>
    <w:rsid w:val="61DE0274"/>
    <w:rsid w:val="61FC4B9F"/>
    <w:rsid w:val="620923F0"/>
    <w:rsid w:val="627064A9"/>
    <w:rsid w:val="62791D4B"/>
    <w:rsid w:val="627A34A6"/>
    <w:rsid w:val="628A21AA"/>
    <w:rsid w:val="62A35D2B"/>
    <w:rsid w:val="62C51434"/>
    <w:rsid w:val="631D301E"/>
    <w:rsid w:val="637048BF"/>
    <w:rsid w:val="637462DF"/>
    <w:rsid w:val="63870498"/>
    <w:rsid w:val="639A01CB"/>
    <w:rsid w:val="639A641D"/>
    <w:rsid w:val="63B374DF"/>
    <w:rsid w:val="63D538F9"/>
    <w:rsid w:val="63F21DB5"/>
    <w:rsid w:val="640104D5"/>
    <w:rsid w:val="64061D04"/>
    <w:rsid w:val="64485E79"/>
    <w:rsid w:val="644D7933"/>
    <w:rsid w:val="64841E7A"/>
    <w:rsid w:val="6492024A"/>
    <w:rsid w:val="64AF5EF8"/>
    <w:rsid w:val="65164AD9"/>
    <w:rsid w:val="652A37D1"/>
    <w:rsid w:val="65444892"/>
    <w:rsid w:val="65654809"/>
    <w:rsid w:val="65AE7F5E"/>
    <w:rsid w:val="65C77271"/>
    <w:rsid w:val="65DC2D1D"/>
    <w:rsid w:val="66326ED8"/>
    <w:rsid w:val="66833198"/>
    <w:rsid w:val="66B6356E"/>
    <w:rsid w:val="66C022F9"/>
    <w:rsid w:val="66D103A8"/>
    <w:rsid w:val="66D6776C"/>
    <w:rsid w:val="66DB2FD4"/>
    <w:rsid w:val="671F5780"/>
    <w:rsid w:val="6744501E"/>
    <w:rsid w:val="67980EC5"/>
    <w:rsid w:val="68262975"/>
    <w:rsid w:val="683E3F52"/>
    <w:rsid w:val="6855196A"/>
    <w:rsid w:val="68A51AEC"/>
    <w:rsid w:val="68DB3760"/>
    <w:rsid w:val="68EF0FB9"/>
    <w:rsid w:val="69112CDD"/>
    <w:rsid w:val="69196036"/>
    <w:rsid w:val="692429E9"/>
    <w:rsid w:val="69455B2B"/>
    <w:rsid w:val="696E0B50"/>
    <w:rsid w:val="6A4A2640"/>
    <w:rsid w:val="6A745C1A"/>
    <w:rsid w:val="6A7774B8"/>
    <w:rsid w:val="6A8E65B0"/>
    <w:rsid w:val="6B19231D"/>
    <w:rsid w:val="6B2A277C"/>
    <w:rsid w:val="6B6F1F3D"/>
    <w:rsid w:val="6B851187"/>
    <w:rsid w:val="6BA20565"/>
    <w:rsid w:val="6BB65DBE"/>
    <w:rsid w:val="6BC71D79"/>
    <w:rsid w:val="6C046B2A"/>
    <w:rsid w:val="6C2373DC"/>
    <w:rsid w:val="6C450EF0"/>
    <w:rsid w:val="6C506213"/>
    <w:rsid w:val="6C552A2E"/>
    <w:rsid w:val="6CE8644B"/>
    <w:rsid w:val="6D231231"/>
    <w:rsid w:val="6D521B17"/>
    <w:rsid w:val="6D9640F9"/>
    <w:rsid w:val="6D9D0E07"/>
    <w:rsid w:val="6D9E2FAE"/>
    <w:rsid w:val="6DE62094"/>
    <w:rsid w:val="6DEA61F3"/>
    <w:rsid w:val="6E5A6ED5"/>
    <w:rsid w:val="6E5D0773"/>
    <w:rsid w:val="6E6179B3"/>
    <w:rsid w:val="6E7A7577"/>
    <w:rsid w:val="6E9A5523"/>
    <w:rsid w:val="6EA77C40"/>
    <w:rsid w:val="6EAC5256"/>
    <w:rsid w:val="6EAE0FCF"/>
    <w:rsid w:val="6ECF78C3"/>
    <w:rsid w:val="6EF235B1"/>
    <w:rsid w:val="6F215C44"/>
    <w:rsid w:val="6F305E87"/>
    <w:rsid w:val="6F413BF1"/>
    <w:rsid w:val="6F4F630E"/>
    <w:rsid w:val="6F63000B"/>
    <w:rsid w:val="6F66024C"/>
    <w:rsid w:val="6F997ED1"/>
    <w:rsid w:val="6FC00FB9"/>
    <w:rsid w:val="6FC84312"/>
    <w:rsid w:val="6FD20CED"/>
    <w:rsid w:val="6FE56C72"/>
    <w:rsid w:val="700A0487"/>
    <w:rsid w:val="7073427E"/>
    <w:rsid w:val="707D6EAA"/>
    <w:rsid w:val="70BC3E77"/>
    <w:rsid w:val="70C33179"/>
    <w:rsid w:val="70C76378"/>
    <w:rsid w:val="70E4517B"/>
    <w:rsid w:val="70E76A1A"/>
    <w:rsid w:val="713B6A1E"/>
    <w:rsid w:val="713C4FB8"/>
    <w:rsid w:val="713D7BC8"/>
    <w:rsid w:val="714B6FA9"/>
    <w:rsid w:val="715E1D8D"/>
    <w:rsid w:val="71674675"/>
    <w:rsid w:val="71C07997"/>
    <w:rsid w:val="71DC0FEA"/>
    <w:rsid w:val="71F80EDE"/>
    <w:rsid w:val="721D0945"/>
    <w:rsid w:val="722F2426"/>
    <w:rsid w:val="724266DE"/>
    <w:rsid w:val="725B321B"/>
    <w:rsid w:val="72D134DE"/>
    <w:rsid w:val="7315786E"/>
    <w:rsid w:val="73223D39"/>
    <w:rsid w:val="734F0FD2"/>
    <w:rsid w:val="735008A6"/>
    <w:rsid w:val="73905147"/>
    <w:rsid w:val="73B726D3"/>
    <w:rsid w:val="73E55492"/>
    <w:rsid w:val="73E84F83"/>
    <w:rsid w:val="74AB1A1D"/>
    <w:rsid w:val="74C61EAA"/>
    <w:rsid w:val="750E6C6B"/>
    <w:rsid w:val="753F6E24"/>
    <w:rsid w:val="75581C94"/>
    <w:rsid w:val="75814171"/>
    <w:rsid w:val="75976C60"/>
    <w:rsid w:val="75CE7B37"/>
    <w:rsid w:val="75CF63FA"/>
    <w:rsid w:val="75D92DD5"/>
    <w:rsid w:val="75E654F2"/>
    <w:rsid w:val="761D2E3A"/>
    <w:rsid w:val="76424E14"/>
    <w:rsid w:val="76830F93"/>
    <w:rsid w:val="76D8312E"/>
    <w:rsid w:val="76E63007"/>
    <w:rsid w:val="76EE28B0"/>
    <w:rsid w:val="76F8372F"/>
    <w:rsid w:val="76FD3C10"/>
    <w:rsid w:val="770E4D00"/>
    <w:rsid w:val="771A36A5"/>
    <w:rsid w:val="772C33D8"/>
    <w:rsid w:val="775F7911"/>
    <w:rsid w:val="778356EE"/>
    <w:rsid w:val="7795690D"/>
    <w:rsid w:val="78654DF4"/>
    <w:rsid w:val="7871743B"/>
    <w:rsid w:val="78AC52A2"/>
    <w:rsid w:val="78C22246"/>
    <w:rsid w:val="78D37FAF"/>
    <w:rsid w:val="79435FC4"/>
    <w:rsid w:val="79505FD9"/>
    <w:rsid w:val="79567BC4"/>
    <w:rsid w:val="795F7A95"/>
    <w:rsid w:val="796A01BC"/>
    <w:rsid w:val="79703A50"/>
    <w:rsid w:val="79826CFE"/>
    <w:rsid w:val="798D2B1A"/>
    <w:rsid w:val="79A846F9"/>
    <w:rsid w:val="79AC2001"/>
    <w:rsid w:val="79BB1CDC"/>
    <w:rsid w:val="79F20909"/>
    <w:rsid w:val="7A546ECE"/>
    <w:rsid w:val="7A57076C"/>
    <w:rsid w:val="7A592C72"/>
    <w:rsid w:val="7A94376E"/>
    <w:rsid w:val="7ABE4C8F"/>
    <w:rsid w:val="7AE069B4"/>
    <w:rsid w:val="7AF20495"/>
    <w:rsid w:val="7AFC3A89"/>
    <w:rsid w:val="7B095400"/>
    <w:rsid w:val="7B1844AE"/>
    <w:rsid w:val="7B6E2211"/>
    <w:rsid w:val="7B75534E"/>
    <w:rsid w:val="7B767318"/>
    <w:rsid w:val="7B8657AD"/>
    <w:rsid w:val="7BDC0A6A"/>
    <w:rsid w:val="7BE95D3C"/>
    <w:rsid w:val="7BFA3AA5"/>
    <w:rsid w:val="7C136915"/>
    <w:rsid w:val="7C15268D"/>
    <w:rsid w:val="7C350F81"/>
    <w:rsid w:val="7C6A0C2B"/>
    <w:rsid w:val="7C833A9B"/>
    <w:rsid w:val="7C8B294F"/>
    <w:rsid w:val="7C8E41ED"/>
    <w:rsid w:val="7CAD20F4"/>
    <w:rsid w:val="7CB5158A"/>
    <w:rsid w:val="7CCF4F32"/>
    <w:rsid w:val="7CE56503"/>
    <w:rsid w:val="7D126BCC"/>
    <w:rsid w:val="7D782ED3"/>
    <w:rsid w:val="7D80447E"/>
    <w:rsid w:val="7D9925BD"/>
    <w:rsid w:val="7E250F14"/>
    <w:rsid w:val="7E266DD3"/>
    <w:rsid w:val="7E2766A8"/>
    <w:rsid w:val="7E355268"/>
    <w:rsid w:val="7E3E411D"/>
    <w:rsid w:val="7E5413FF"/>
    <w:rsid w:val="7E61605D"/>
    <w:rsid w:val="7E6D67B0"/>
    <w:rsid w:val="7E7C2E97"/>
    <w:rsid w:val="7E9A331D"/>
    <w:rsid w:val="7EBF2DF7"/>
    <w:rsid w:val="7ECD724F"/>
    <w:rsid w:val="7EDC7492"/>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9"/>
    <w:pPr>
      <w:spacing w:before="160"/>
      <w:ind w:left="540"/>
      <w:outlineLvl w:val="1"/>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style>
  <w:style w:type="paragraph" w:styleId="4">
    <w:name w:val="Body Text"/>
    <w:basedOn w:val="1"/>
    <w:qFormat/>
    <w:uiPriority w:val="1"/>
    <w:pPr>
      <w:ind w:left="319"/>
    </w:pPr>
    <w:rPr>
      <w:sz w:val="24"/>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8">
    <w:name w:val="Normal (Web)"/>
    <w:basedOn w:val="1"/>
    <w:semiHidden/>
    <w:unhideWhenUsed/>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Emphasis"/>
    <w:basedOn w:val="11"/>
    <w:qFormat/>
    <w:uiPriority w:val="0"/>
    <w:rPr>
      <w:i/>
    </w:rPr>
  </w:style>
  <w:style w:type="character" w:styleId="13">
    <w:name w:val="annotation reference"/>
    <w:basedOn w:val="11"/>
    <w:semiHidden/>
    <w:unhideWhenUsed/>
    <w:qFormat/>
    <w:uiPriority w:val="0"/>
    <w:rPr>
      <w:sz w:val="21"/>
      <w:szCs w:val="21"/>
    </w:rPr>
  </w:style>
  <w:style w:type="paragraph" w:customStyle="1" w:styleId="14">
    <w:name w:val="Table Paragraph"/>
    <w:basedOn w:val="1"/>
    <w:qFormat/>
    <w:uiPriority w:val="1"/>
    <w:pPr>
      <w:spacing w:line="520" w:lineRule="exact"/>
      <w:ind w:right="226"/>
    </w:pPr>
  </w:style>
  <w:style w:type="table" w:customStyle="1" w:styleId="15">
    <w:name w:val="Table Normal"/>
    <w:unhideWhenUsed/>
    <w:qFormat/>
    <w:uiPriority w:val="2"/>
    <w:tblPr>
      <w:tblCellMar>
        <w:top w:w="0" w:type="dxa"/>
        <w:left w:w="0" w:type="dxa"/>
        <w:bottom w:w="0" w:type="dxa"/>
        <w:right w:w="0" w:type="dxa"/>
      </w:tblCellMar>
    </w:tblPr>
  </w:style>
  <w:style w:type="character" w:customStyle="1" w:styleId="16">
    <w:name w:val="HTML 预设格式 字符"/>
    <w:link w:val="7"/>
    <w:qFormat/>
    <w:uiPriority w:val="99"/>
    <w:rPr>
      <w:rFonts w:ascii="宋体" w:hAnsi="宋体"/>
      <w:sz w:val="24"/>
      <w:szCs w:val="24"/>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8">
    <w:name w:val="修订1"/>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HBSC</Company>
  <Pages>2</Pages>
  <Words>1311</Words>
  <Characters>1384</Characters>
  <Lines>14</Lines>
  <Paragraphs>4</Paragraphs>
  <TotalTime>1</TotalTime>
  <ScaleCrop>false</ScaleCrop>
  <LinksUpToDate>false</LinksUpToDate>
  <CharactersWithSpaces>1458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2024-01-05T18:18:00Z</dcterms:created>
  <dc:creator>默沫1414148202</dc:creator>
  <cp:lastModifiedBy>耕·CJames</cp:lastModifiedBy>
  <cp:lastPrinted>2025-10-27T01:08:00Z</cp:lastPrinted>
  <dcterms:modified xsi:type="dcterms:W3CDTF">2025-12-02T08:32:01Z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DC5D1BDE50F84A68A4B268F78EC879B4_13</vt:lpwstr>
  </property>
  <property fmtid="{D5CDD505-2E9C-101B-9397-08002B2CF9AE}" pid="4" name="KSOTemplateDocerSaveRecord">
    <vt:lpwstr>eyJoZGlkIjoiZjBlZDllNjg2NDg3YjdmNzY1NjM3NTgyZGRjMTEzMWMiLCJ1c2VySWQiOiI0Mjc4OTUxNjIifQ==</vt:lpwstr>
  </property>
</Properties>
</file>