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C602">
      <w:pPr>
        <w:spacing w:line="36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pacing w:val="11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江西晨光新材料</w:t>
      </w:r>
      <w:r>
        <w:rPr>
          <w:rFonts w:ascii="Times New Roman" w:hAnsi="Times New Roman" w:eastAsia="宋体" w:cs="Times New Roman"/>
          <w:spacing w:val="10"/>
          <w:position w:val="2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股份有限公司</w:t>
      </w:r>
    </w:p>
    <w:p w14:paraId="35D60D39">
      <w:pPr>
        <w:spacing w:line="360" w:lineRule="auto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pacing w:val="6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Times New Roman" w:hAnsi="Times New Roman" w:eastAsia="宋体" w:cs="Times New Roman"/>
          <w:spacing w:val="6"/>
          <w:sz w:val="36"/>
          <w:szCs w:val="36"/>
          <w:lang w:val="en-US"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hint="eastAsia" w:ascii="Times New Roman" w:hAnsi="Times New Roman" w:eastAsia="宋体" w:cs="Times New Roman"/>
          <w:spacing w:val="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Times New Roman" w:hAnsi="Times New Roman" w:eastAsia="宋体" w:cs="Times New Roman"/>
          <w:spacing w:val="3"/>
          <w:sz w:val="36"/>
          <w:szCs w:val="36"/>
          <w:lang w:val="en-US"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第三季度</w:t>
      </w:r>
      <w:r>
        <w:rPr>
          <w:rFonts w:ascii="Times New Roman" w:hAnsi="Times New Roman" w:eastAsia="宋体" w:cs="Times New Roman"/>
          <w:spacing w:val="3"/>
          <w:sz w:val="36"/>
          <w:szCs w:val="36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业绩说明会会议纪要</w:t>
      </w:r>
    </w:p>
    <w:p w14:paraId="6FC61D05">
      <w:pPr>
        <w:spacing w:line="360" w:lineRule="auto"/>
        <w:rPr>
          <w:rFonts w:ascii="Times New Roman" w:hAnsi="Times New Roman" w:cs="Times New Roman"/>
        </w:rPr>
      </w:pPr>
    </w:p>
    <w:p w14:paraId="1E543670">
      <w:pPr>
        <w:spacing w:line="360" w:lineRule="auto"/>
        <w:ind w:firstLine="482" w:firstLineChars="200"/>
        <w:outlineLvl w:val="0"/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  <w:t>一、本次会议召开情况</w:t>
      </w:r>
      <w:r>
        <w:rPr>
          <w:rFonts w:hint="eastAsia" w:ascii="Times New Roman" w:hAnsi="Times New Roman" w:cs="Times New Roman" w:eastAsiaTheme="minorEastAsia"/>
          <w:b/>
          <w:snapToGrid/>
          <w:kern w:val="2"/>
          <w:sz w:val="24"/>
          <w:szCs w:val="24"/>
        </w:rPr>
        <w:t>：</w:t>
      </w:r>
    </w:p>
    <w:p w14:paraId="1FB936A3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会议召开时间：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eastAsia="zh-CN"/>
        </w:rPr>
        <w:t>2025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年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月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日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（星期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）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11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:00-1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:00</w:t>
      </w:r>
    </w:p>
    <w:p w14:paraId="1F71DDCA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会议召开方式：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上海证券交易所上证路演中心（以下简称“上证路演中心”）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网络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文字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互动</w:t>
      </w:r>
    </w:p>
    <w:p w14:paraId="6E56484D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网上召开地址：上证路演中心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（网址：</w:t>
      </w:r>
      <w:r>
        <w:fldChar w:fldCharType="begin"/>
      </w:r>
      <w:r>
        <w:instrText xml:space="preserve"> HYPERLINK "http://roadshow.sseinfo.com/" </w:instrText>
      </w:r>
      <w:r>
        <w:fldChar w:fldCharType="separate"/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http://roadshow.sseinfo.com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）</w:t>
      </w:r>
    </w:p>
    <w:p w14:paraId="7F209B78">
      <w:pPr>
        <w:spacing w:line="360" w:lineRule="auto"/>
        <w:ind w:firstLine="480" w:firstLineChars="20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参加人员：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董事兼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总经理丁冰先生、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董事、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董事会秘书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兼副总经理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梁秋鸿先生、财务总监陆建平先生、 独立董事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  <w:lang w:val="en-US" w:eastAsia="zh-CN"/>
        </w:rPr>
        <w:t>李国</w:t>
      </w:r>
      <w:r>
        <w:rPr>
          <w:rFonts w:hint="eastAsia" w:ascii="Times New Roman" w:hAnsi="Times New Roman" w:cs="Times New Roman" w:eastAsiaTheme="minorEastAsia"/>
          <w:bCs/>
          <w:snapToGrid/>
          <w:kern w:val="2"/>
          <w:sz w:val="24"/>
          <w:szCs w:val="24"/>
        </w:rPr>
        <w:t>平先生、证券事务代表冯依樊女士</w:t>
      </w:r>
      <w:r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  <w:t>。</w:t>
      </w:r>
    </w:p>
    <w:p w14:paraId="20F94135">
      <w:pPr>
        <w:spacing w:line="360" w:lineRule="auto"/>
        <w:ind w:firstLine="482" w:firstLineChars="200"/>
        <w:outlineLvl w:val="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snapToGrid/>
          <w:kern w:val="2"/>
          <w:sz w:val="24"/>
          <w:szCs w:val="24"/>
        </w:rPr>
        <w:t>二、本次说明会投资者提出的问题及回复情况整理如下：</w:t>
      </w:r>
    </w:p>
    <w:p w14:paraId="5344B2E5">
      <w:pPr>
        <w:pStyle w:val="21"/>
        <w:spacing w:line="360" w:lineRule="auto"/>
        <w:ind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Times New Roman" w:hAnsi="Times New Roman" w:eastAsiaTheme="minorEastAsia"/>
          <w:b/>
          <w:sz w:val="24"/>
          <w:szCs w:val="24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1、</w:t>
      </w:r>
      <w:r>
        <w:rPr>
          <w:rFonts w:hint="eastAsia" w:ascii="宋体" w:hAnsi="宋体"/>
          <w:b/>
          <w:sz w:val="24"/>
          <w:szCs w:val="24"/>
          <w:lang w:val="en-US"/>
        </w:rPr>
        <w:t>在研发投入和市场开拓方面，有哪些具体的规划来驱动下一阶段的增长？</w:t>
      </w:r>
    </w:p>
    <w:p w14:paraId="692246F3">
      <w:pPr>
        <w:pStyle w:val="21"/>
        <w:spacing w:line="360" w:lineRule="auto"/>
        <w:ind w:left="-2" w:leftChars="-1"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</w:t>
      </w:r>
      <w:r>
        <w:rPr>
          <w:rFonts w:hint="eastAsia" w:ascii="宋体" w:hAnsi="宋体"/>
          <w:sz w:val="24"/>
          <w:szCs w:val="24"/>
          <w:lang w:val="en-US"/>
        </w:rPr>
        <w:t>尊敬的投资者，您好！在研发方面，公司紧密围绕客户需求，不断开发新型功能性硅烷、优化反应工艺路线，同步持续加大产品的下游应用研究。如，在气凝胶领域，公司持续开展适用于新能源、建筑和工业保温领域产品的研究。此外，公司稳步推进数字化研发协同体系建设，完成研发信息化的深度整合。在市场开拓方面，公司根据市场行情，结合行业供需情况，分产品、分类别地灵活推进销售和市场工作，如构建客户中心型组织，提升服务效能，强化产供销协同机制，实施动态调价策略等。感谢您对晨光新材的关注！</w:t>
      </w:r>
    </w:p>
    <w:p w14:paraId="6308B4E3">
      <w:pPr>
        <w:pStyle w:val="21"/>
        <w:spacing w:line="360" w:lineRule="auto"/>
        <w:ind w:left="-2" w:leftChars="-1" w:firstLine="482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</w:t>
      </w:r>
      <w:r>
        <w:rPr>
          <w:rFonts w:hint="eastAsia" w:ascii="宋体" w:hAnsi="宋体"/>
          <w:b/>
          <w:sz w:val="24"/>
          <w:szCs w:val="24"/>
          <w:lang w:val="en-US"/>
        </w:rPr>
        <w:t>对于第四季度及2026年的主要下游市场需求，管理层有何预判？公司业绩拐点预计何时出现？</w:t>
      </w:r>
    </w:p>
    <w:p w14:paraId="601055C9">
      <w:pPr>
        <w:pStyle w:val="21"/>
        <w:spacing w:line="360" w:lineRule="auto"/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</w:t>
      </w:r>
      <w:r>
        <w:rPr>
          <w:rFonts w:hint="eastAsia" w:ascii="宋体" w:hAnsi="宋体"/>
          <w:sz w:val="24"/>
          <w:szCs w:val="24"/>
          <w:lang w:val="en-US"/>
        </w:rPr>
        <w:t>尊敬的投资者，您好！功能性硅烷应用广泛，下游行业包括橡胶制品、建筑、纺织、汽车、涂料、医药医疗等。行业层面，新能源、复合材料等下游领域持续扩容，预计将带动常规硅烷产品需求稳定增长。半导体等新兴应用场景的拓展，预计将刺激行业加速开发特种硅烷产品。公司的业绩拐点受较多因素影响，包含外部环境如市场需求变化、市场竞争格局变化，内部环境如新产品推广、成本与效率优化等。请您持续关注公司后续的相关公告，再次感谢您对晨光新材的关注！</w:t>
      </w:r>
    </w:p>
    <w:p w14:paraId="6DB7DA61">
      <w:pPr>
        <w:pStyle w:val="21"/>
        <w:spacing w:line="360" w:lineRule="auto"/>
        <w:ind w:firstLineChars="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3、</w:t>
      </w:r>
      <w:r>
        <w:rPr>
          <w:rFonts w:hint="eastAsia" w:ascii="宋体" w:hAnsi="宋体"/>
          <w:b/>
          <w:sz w:val="24"/>
          <w:szCs w:val="24"/>
          <w:lang w:val="en-US"/>
        </w:rPr>
        <w:t>面对当前的经营压力，管理层有何具体的短期扭亏举措和长期战略调整计划？</w:t>
      </w:r>
    </w:p>
    <w:p w14:paraId="4141BDB0">
      <w:pPr>
        <w:pStyle w:val="21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答：</w:t>
      </w:r>
      <w:r>
        <w:rPr>
          <w:rFonts w:hint="eastAsia" w:ascii="宋体" w:hAnsi="宋体"/>
          <w:sz w:val="24"/>
          <w:szCs w:val="24"/>
          <w:lang w:val="en-US"/>
        </w:rPr>
        <w:t>尊敬的投资者，您好！短期来看，公司主动顺应市场变化，动态优化经营策略，强化产供销各环节的高效协同，注重内部挖潜和效益提升，目标是推动运营效率与综合效益的增长。长期来看，公司经营团队将继续聚焦主营业务，深入推进质量与效率变革，进一步强化市场研判，促进生产、研发与营销等环节的紧密协作，以确保各项提质增效举措落到实处、取得实效。感谢您对晨光新材的关注和支持！</w:t>
      </w:r>
    </w:p>
    <w:p w14:paraId="4A92F88E">
      <w:pPr>
        <w:pStyle w:val="21"/>
        <w:spacing w:line="360" w:lineRule="auto"/>
        <w:ind w:firstLine="480"/>
        <w:rPr>
          <w:rFonts w:ascii="Times New Roman" w:hAnsi="Times New Roman" w:cs="Times New Roman" w:eastAsiaTheme="minorEastAsia"/>
          <w:bCs/>
          <w:snapToGrid/>
          <w:kern w:val="2"/>
          <w:sz w:val="24"/>
          <w:szCs w:val="24"/>
        </w:rPr>
      </w:pPr>
      <w:bookmarkStart w:id="0" w:name="_GoBack"/>
      <w:bookmarkEnd w:id="0"/>
    </w:p>
    <w:sectPr>
      <w:pgSz w:w="11907" w:h="16839"/>
      <w:pgMar w:top="975" w:right="1672" w:bottom="510" w:left="167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3647D1"/>
    <w:rsid w:val="000C42FE"/>
    <w:rsid w:val="00125AE3"/>
    <w:rsid w:val="001444F5"/>
    <w:rsid w:val="002D0D8E"/>
    <w:rsid w:val="00336A23"/>
    <w:rsid w:val="00345E25"/>
    <w:rsid w:val="00363AE2"/>
    <w:rsid w:val="003647D1"/>
    <w:rsid w:val="0036560D"/>
    <w:rsid w:val="00376172"/>
    <w:rsid w:val="003C7679"/>
    <w:rsid w:val="00550392"/>
    <w:rsid w:val="005A64DB"/>
    <w:rsid w:val="00614A90"/>
    <w:rsid w:val="00617649"/>
    <w:rsid w:val="00641FE9"/>
    <w:rsid w:val="006A4811"/>
    <w:rsid w:val="006B592A"/>
    <w:rsid w:val="006B7D4D"/>
    <w:rsid w:val="008164F8"/>
    <w:rsid w:val="00941D9A"/>
    <w:rsid w:val="00981D5C"/>
    <w:rsid w:val="009C6409"/>
    <w:rsid w:val="00A55C0F"/>
    <w:rsid w:val="00A82ACE"/>
    <w:rsid w:val="00AC5058"/>
    <w:rsid w:val="00AE346D"/>
    <w:rsid w:val="00D01439"/>
    <w:rsid w:val="00D01F83"/>
    <w:rsid w:val="00D04FF2"/>
    <w:rsid w:val="00D348F3"/>
    <w:rsid w:val="00EE1C40"/>
    <w:rsid w:val="00F0051C"/>
    <w:rsid w:val="00F54CF3"/>
    <w:rsid w:val="036C262D"/>
    <w:rsid w:val="11365C27"/>
    <w:rsid w:val="12DB153B"/>
    <w:rsid w:val="1F172A0A"/>
    <w:rsid w:val="3BB1362D"/>
    <w:rsid w:val="47E31885"/>
    <w:rsid w:val="4DB53509"/>
    <w:rsid w:val="52F7756C"/>
    <w:rsid w:val="546C6511"/>
    <w:rsid w:val="5F476079"/>
    <w:rsid w:val="65AA1D91"/>
    <w:rsid w:val="66FB1098"/>
    <w:rsid w:val="6852545B"/>
    <w:rsid w:val="692F25E6"/>
    <w:rsid w:val="77860D3A"/>
    <w:rsid w:val="7C1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修订2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17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8">
    <w:name w:val="页脚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9">
    <w:name w:val="批注文字 字符"/>
    <w:basedOn w:val="9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0">
    <w:name w:val="批注主题 字符"/>
    <w:basedOn w:val="19"/>
    <w:link w:val="6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21">
    <w:name w:val="_Style 6"/>
    <w:basedOn w:val="1"/>
    <w:qFormat/>
    <w:uiPriority w:val="34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CF3D-DF99-48FF-8A5B-89594F8B0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1143</Words>
  <Characters>1194</Characters>
  <Lines>8</Lines>
  <Paragraphs>2</Paragraphs>
  <TotalTime>0</TotalTime>
  <ScaleCrop>false</ScaleCrop>
  <LinksUpToDate>false</LinksUpToDate>
  <CharactersWithSpaces>1197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2024-10-10T07:42:00Z</dcterms:created>
  <dc:creator>Windows 用户</dc:creator>
  <cp:lastModifiedBy>Affannn</cp:lastModifiedBy>
  <dcterms:modified xsi:type="dcterms:W3CDTF">2025-12-03T05:15:24Z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2022-05-28T10:03:08Z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E8EC4E19754A4CD6B81EC45C063782A7_13</vt:lpwstr>
  </property>
  <property fmtid="{D5CDD505-2E9C-101B-9397-08002B2CF9AE}" pid="6" name="KSOTemplateDocerSaveRecord">
    <vt:lpwstr>eyJoZGlkIjoiOTMzMWYwMWY3YzVmZjU3NTZmODU5ZjBkYjBkZDNiYmMiLCJ1c2VySWQiOiIyNTA4MDA1OTgifQ==</vt:lpwstr>
  </property>
</Properties>
</file>