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3E630E92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A62514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D70A58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125FA8">
        <w:rPr>
          <w:rFonts w:ascii="Times New Roman" w:eastAsia="宋体" w:hAnsi="Times New Roman"/>
          <w:color w:val="000000" w:themeColor="text1"/>
          <w:sz w:val="24"/>
          <w:szCs w:val="24"/>
        </w:rPr>
        <w:t>3</w:t>
      </w:r>
      <w:r w:rsidR="00ED7FD5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31558454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B11C8A" w:rsidR="003D068E" w:rsidRDefault="00ED7FD5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15FEBF6F" w:rsidR="003D068E" w:rsidRDefault="00ED7FD5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华西证券、方正证券、新华基金、长城基金、长城证券、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浦银安盛基金</w:t>
            </w:r>
            <w:proofErr w:type="gramEnd"/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0DBF0F56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ED7FD5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ED7FD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7161E97C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75BBFBA1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朱磊、崔龙峰、</w:t>
            </w:r>
            <w:r w:rsidR="00125FA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杨光、尤家康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2A8D976C" w14:textId="391D8EC5" w:rsidR="003D068E" w:rsidRDefault="00E173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0E763DC0" w14:textId="77777777" w:rsidR="00D51EFF" w:rsidRDefault="00D51EFF" w:rsidP="00A322FC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公司目前主要客户情况是怎样的？</w:t>
            </w:r>
          </w:p>
          <w:p w14:paraId="029B42AF" w14:textId="66F50D56" w:rsidR="00D51EFF" w:rsidRDefault="00D51EFF" w:rsidP="00D51EF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答：公司的主要客户包括大众、通用、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斯特兰蒂斯、福特、</w:t>
            </w:r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丰田等众多国际汽车厂商和</w:t>
            </w:r>
            <w:proofErr w:type="gramStart"/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汽、长城、长安、上汽、奇瑞等诸多国内汽车厂商以及创新汽车新势力品牌。</w:t>
            </w:r>
          </w:p>
          <w:p w14:paraId="09B23C6D" w14:textId="223C692A" w:rsidR="00A322FC" w:rsidRPr="00A322FC" w:rsidRDefault="00A322FC" w:rsidP="00A322FC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公司目前主营业务燃油系统中</w:t>
            </w:r>
            <w:proofErr w:type="gramStart"/>
            <w:r w:rsidR="008C1F0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</w:t>
            </w:r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发展情况怎么样？</w:t>
            </w:r>
          </w:p>
          <w:p w14:paraId="3DFAE8F8" w14:textId="78ABD7C6" w:rsidR="00E17303" w:rsidRDefault="00A322FC" w:rsidP="00A322F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答：公司的</w:t>
            </w:r>
            <w:proofErr w:type="gramStart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混动汽车</w:t>
            </w:r>
            <w:proofErr w:type="gramEnd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高压燃油系统在插电式（</w:t>
            </w:r>
            <w:proofErr w:type="gramStart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含增程式</w:t>
            </w:r>
            <w:proofErr w:type="gramEnd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）混合动力车上已得到商业化推广和应用。得益于</w:t>
            </w:r>
            <w:proofErr w:type="gramStart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混动汽车</w:t>
            </w:r>
            <w:proofErr w:type="gramEnd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市场的蓬勃发展，公司获得的</w:t>
            </w:r>
            <w:proofErr w:type="gramStart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新能源混动燃油系统</w:t>
            </w:r>
            <w:proofErr w:type="gramEnd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订单大幅超过传统燃油系统订单。与此同时，公司通过对产品设计方案的优化、关键零部件的自</w:t>
            </w:r>
            <w:proofErr w:type="gramStart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研</w:t>
            </w:r>
            <w:proofErr w:type="gramEnd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和生产过程的持续改进，实现</w:t>
            </w:r>
            <w:proofErr w:type="gramStart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lastRenderedPageBreak/>
              <w:t>了混动高压</w:t>
            </w:r>
            <w:proofErr w:type="gramEnd"/>
            <w:r w:rsidRPr="00A322F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燃油系统的降本增效，产品市场竞争力进一步提升。</w:t>
            </w:r>
          </w:p>
          <w:p w14:paraId="4C273874" w14:textId="70D40897" w:rsidR="00143431" w:rsidRPr="00143431" w:rsidRDefault="00143431" w:rsidP="00143431">
            <w:pPr>
              <w:pStyle w:val="af2"/>
              <w:numPr>
                <w:ilvl w:val="0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43431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143431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和传统燃油系统在单件价值方面是否有区别？</w:t>
            </w:r>
          </w:p>
          <w:p w14:paraId="4ECDEDDD" w14:textId="7637430B" w:rsidR="00143431" w:rsidRDefault="00143431" w:rsidP="00A322F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143431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答：由于混合动力车具有电驱动、油驱动及油电混合驱动等多种工况，燃油的存储、供给和蒸汽管理相比传统燃油车更为复杂。</w:t>
            </w:r>
            <w:proofErr w:type="gramStart"/>
            <w:r w:rsidRPr="00143431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143431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0733A9B5" w14:textId="77777777" w:rsidR="00ED7FD5" w:rsidRDefault="00ED7FD5" w:rsidP="00D51EFF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D7FD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请问公司未来的分红计划和派息政策？</w:t>
            </w:r>
          </w:p>
          <w:p w14:paraId="411405D1" w14:textId="2FD53AC5" w:rsidR="00ED7FD5" w:rsidRPr="00143431" w:rsidRDefault="00ED7FD5" w:rsidP="00A322F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D7FD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您好！公司始终重视股东回报，并将持续稳定的分红作为公司回报投资者的重要举措之一。在制定分红计划和派息政策时，我们会综合考虑公司的经营状况、财务状况、未来资金需求以及股东回报要求等多方面因素。</w:t>
            </w:r>
          </w:p>
          <w:p w14:paraId="449388E5" w14:textId="7BB31260" w:rsidR="00544069" w:rsidRPr="00544069" w:rsidRDefault="00544069" w:rsidP="00125FA8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请介绍一下</w:t>
            </w:r>
            <w:r w:rsid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今年</w:t>
            </w: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收购的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及其产品？</w:t>
            </w:r>
          </w:p>
          <w:p w14:paraId="3E8B1AD9" w14:textId="77777777" w:rsidR="003D068E" w:rsidRDefault="00544069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是一家专业研发和生产旋转变压器及特种电机产品的高新技术企业。旋转变压器是一种实现位置、速度传感功能的微</w:t>
            </w:r>
            <w:proofErr w:type="gramStart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544069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电机，是实现高性能电动化的关键核心部件之一，主要用于新能源汽车电驱动系统之中，为新能源汽车电驱动系统的核心传感器。</w:t>
            </w:r>
          </w:p>
          <w:p w14:paraId="43592F76" w14:textId="46EF19FF" w:rsidR="00D51EFF" w:rsidRDefault="00D51EFF" w:rsidP="00D51EFF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公司收购</w:t>
            </w:r>
            <w:proofErr w:type="gramStart"/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的背景？</w:t>
            </w:r>
          </w:p>
          <w:p w14:paraId="11296A71" w14:textId="6883958E" w:rsidR="00D51EFF" w:rsidRDefault="00D51EFF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收购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旨在通过产业资源整合，进一步强化亚普股份在新能源汽车关键零部件领域的布局，助力公司业务转型，同时依托标的公司和亚普股份在技术、客户资源、生产布局上的互补，助力相关产品国际化业务拓展。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51E1B6E1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A539D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7D1ED512" w:rsidR="00DB02E0" w:rsidRDefault="00A539D1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D51EFF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D51E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04913AFF" w14:textId="47A2E17D" w:rsidR="00F10C8A" w:rsidRDefault="00F10C8A">
      <w:pPr>
        <w:widowControl/>
        <w:jc w:val="left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</w:p>
    <w:sectPr w:rsidR="00F10C8A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565C" w14:textId="77777777" w:rsidR="00A92893" w:rsidRDefault="00A92893" w:rsidP="00733C1E">
      <w:r>
        <w:separator/>
      </w:r>
    </w:p>
  </w:endnote>
  <w:endnote w:type="continuationSeparator" w:id="0">
    <w:p w14:paraId="163EB80E" w14:textId="77777777" w:rsidR="00A92893" w:rsidRDefault="00A92893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1520" w14:textId="77777777" w:rsidR="00A92893" w:rsidRDefault="00A92893" w:rsidP="00733C1E">
      <w:r>
        <w:separator/>
      </w:r>
    </w:p>
  </w:footnote>
  <w:footnote w:type="continuationSeparator" w:id="0">
    <w:p w14:paraId="38E3935A" w14:textId="77777777" w:rsidR="00A92893" w:rsidRDefault="00A92893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8DB5911"/>
    <w:multiLevelType w:val="hybridMultilevel"/>
    <w:tmpl w:val="2C54F9BC"/>
    <w:lvl w:ilvl="0" w:tplc="BF12B1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E172818"/>
    <w:multiLevelType w:val="hybridMultilevel"/>
    <w:tmpl w:val="CC627266"/>
    <w:lvl w:ilvl="0" w:tplc="ECDA2C10">
      <w:start w:val="1"/>
      <w:numFmt w:val="decimal"/>
      <w:lvlText w:val="%1、"/>
      <w:lvlJc w:val="left"/>
      <w:pPr>
        <w:ind w:left="310" w:hanging="3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5B57FD5"/>
    <w:multiLevelType w:val="hybridMultilevel"/>
    <w:tmpl w:val="8BCA2C3A"/>
    <w:lvl w:ilvl="0" w:tplc="BD5E4D0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53AC3"/>
    <w:rsid w:val="000617A5"/>
    <w:rsid w:val="0007277A"/>
    <w:rsid w:val="000753CB"/>
    <w:rsid w:val="000755B4"/>
    <w:rsid w:val="0007577E"/>
    <w:rsid w:val="000863F9"/>
    <w:rsid w:val="000867F4"/>
    <w:rsid w:val="00096A16"/>
    <w:rsid w:val="000B0686"/>
    <w:rsid w:val="000B4A42"/>
    <w:rsid w:val="000B5FA6"/>
    <w:rsid w:val="000D2274"/>
    <w:rsid w:val="000D4BF5"/>
    <w:rsid w:val="000E1FF2"/>
    <w:rsid w:val="000E52C9"/>
    <w:rsid w:val="000E66F0"/>
    <w:rsid w:val="000E7187"/>
    <w:rsid w:val="000F5E05"/>
    <w:rsid w:val="00104A6D"/>
    <w:rsid w:val="001063DF"/>
    <w:rsid w:val="00113A9C"/>
    <w:rsid w:val="00115076"/>
    <w:rsid w:val="001203DA"/>
    <w:rsid w:val="001228DE"/>
    <w:rsid w:val="00122F50"/>
    <w:rsid w:val="00123D06"/>
    <w:rsid w:val="0012460F"/>
    <w:rsid w:val="00125FA8"/>
    <w:rsid w:val="00126721"/>
    <w:rsid w:val="00127FCA"/>
    <w:rsid w:val="00132806"/>
    <w:rsid w:val="001330D4"/>
    <w:rsid w:val="001368BF"/>
    <w:rsid w:val="00137BEA"/>
    <w:rsid w:val="00143431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96787"/>
    <w:rsid w:val="001A305A"/>
    <w:rsid w:val="001A3F62"/>
    <w:rsid w:val="001B1522"/>
    <w:rsid w:val="001B1DE5"/>
    <w:rsid w:val="001B28CB"/>
    <w:rsid w:val="001B3A52"/>
    <w:rsid w:val="001B7CB0"/>
    <w:rsid w:val="001C2C74"/>
    <w:rsid w:val="001C7753"/>
    <w:rsid w:val="001D27BF"/>
    <w:rsid w:val="001D312E"/>
    <w:rsid w:val="001E0836"/>
    <w:rsid w:val="001F0A58"/>
    <w:rsid w:val="001F126B"/>
    <w:rsid w:val="001F45FC"/>
    <w:rsid w:val="0020194B"/>
    <w:rsid w:val="0020604E"/>
    <w:rsid w:val="00206CC1"/>
    <w:rsid w:val="0021383A"/>
    <w:rsid w:val="00241D36"/>
    <w:rsid w:val="0024429D"/>
    <w:rsid w:val="002458C5"/>
    <w:rsid w:val="00247652"/>
    <w:rsid w:val="002527CD"/>
    <w:rsid w:val="00254FB9"/>
    <w:rsid w:val="00260EAE"/>
    <w:rsid w:val="00265886"/>
    <w:rsid w:val="002819CB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69E2"/>
    <w:rsid w:val="0034795C"/>
    <w:rsid w:val="003503A7"/>
    <w:rsid w:val="00352996"/>
    <w:rsid w:val="003561E2"/>
    <w:rsid w:val="0035643F"/>
    <w:rsid w:val="00361F48"/>
    <w:rsid w:val="00362C43"/>
    <w:rsid w:val="00377347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E22A6"/>
    <w:rsid w:val="003E3F0E"/>
    <w:rsid w:val="003E4575"/>
    <w:rsid w:val="003E608F"/>
    <w:rsid w:val="003E729C"/>
    <w:rsid w:val="003F1A6A"/>
    <w:rsid w:val="003F2A46"/>
    <w:rsid w:val="00400BDC"/>
    <w:rsid w:val="004053F6"/>
    <w:rsid w:val="00405687"/>
    <w:rsid w:val="00405BB5"/>
    <w:rsid w:val="0041080E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40E7C"/>
    <w:rsid w:val="005413E7"/>
    <w:rsid w:val="00544069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84620"/>
    <w:rsid w:val="005917E4"/>
    <w:rsid w:val="00596318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7B16"/>
    <w:rsid w:val="006C7C8C"/>
    <w:rsid w:val="006D192C"/>
    <w:rsid w:val="006D1A00"/>
    <w:rsid w:val="006D3981"/>
    <w:rsid w:val="006E29B4"/>
    <w:rsid w:val="006E3DFB"/>
    <w:rsid w:val="006F0739"/>
    <w:rsid w:val="006F1340"/>
    <w:rsid w:val="006F509A"/>
    <w:rsid w:val="006F581D"/>
    <w:rsid w:val="007015E5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45B"/>
    <w:rsid w:val="007D5F87"/>
    <w:rsid w:val="007E4D7E"/>
    <w:rsid w:val="007E655B"/>
    <w:rsid w:val="007F13DE"/>
    <w:rsid w:val="007F1D7D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84522"/>
    <w:rsid w:val="008929BA"/>
    <w:rsid w:val="0089578E"/>
    <w:rsid w:val="008A2591"/>
    <w:rsid w:val="008B2E69"/>
    <w:rsid w:val="008C1F06"/>
    <w:rsid w:val="008C765C"/>
    <w:rsid w:val="008C7CDB"/>
    <w:rsid w:val="008D1BA1"/>
    <w:rsid w:val="008D1DCA"/>
    <w:rsid w:val="008D444D"/>
    <w:rsid w:val="008F4BC8"/>
    <w:rsid w:val="00910A3C"/>
    <w:rsid w:val="00912E13"/>
    <w:rsid w:val="00915E33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2452"/>
    <w:rsid w:val="00954C35"/>
    <w:rsid w:val="009552C0"/>
    <w:rsid w:val="00962EF3"/>
    <w:rsid w:val="00976EF5"/>
    <w:rsid w:val="00980B9F"/>
    <w:rsid w:val="00983AA1"/>
    <w:rsid w:val="00983AF3"/>
    <w:rsid w:val="00985279"/>
    <w:rsid w:val="00991E21"/>
    <w:rsid w:val="00994429"/>
    <w:rsid w:val="009A0C07"/>
    <w:rsid w:val="009A16DC"/>
    <w:rsid w:val="009A1907"/>
    <w:rsid w:val="009A4AFB"/>
    <w:rsid w:val="009A4AFC"/>
    <w:rsid w:val="009A54F6"/>
    <w:rsid w:val="009B178E"/>
    <w:rsid w:val="009B3D17"/>
    <w:rsid w:val="009B71CE"/>
    <w:rsid w:val="009C25F1"/>
    <w:rsid w:val="009D7F8E"/>
    <w:rsid w:val="009E2862"/>
    <w:rsid w:val="009E4927"/>
    <w:rsid w:val="009F1A23"/>
    <w:rsid w:val="00A06DF7"/>
    <w:rsid w:val="00A07B48"/>
    <w:rsid w:val="00A13746"/>
    <w:rsid w:val="00A24729"/>
    <w:rsid w:val="00A322FC"/>
    <w:rsid w:val="00A3376B"/>
    <w:rsid w:val="00A44553"/>
    <w:rsid w:val="00A539D1"/>
    <w:rsid w:val="00A556AC"/>
    <w:rsid w:val="00A573E3"/>
    <w:rsid w:val="00A613AE"/>
    <w:rsid w:val="00A61A1A"/>
    <w:rsid w:val="00A62514"/>
    <w:rsid w:val="00A656BF"/>
    <w:rsid w:val="00A7312A"/>
    <w:rsid w:val="00A809BB"/>
    <w:rsid w:val="00A92893"/>
    <w:rsid w:val="00A966D1"/>
    <w:rsid w:val="00AA135F"/>
    <w:rsid w:val="00AA1F8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29E6"/>
    <w:rsid w:val="00BA3D96"/>
    <w:rsid w:val="00BB0F8C"/>
    <w:rsid w:val="00BD30AC"/>
    <w:rsid w:val="00BE0C41"/>
    <w:rsid w:val="00BE0EA0"/>
    <w:rsid w:val="00BE31D1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B20B9"/>
    <w:rsid w:val="00CB3722"/>
    <w:rsid w:val="00CB3C45"/>
    <w:rsid w:val="00CC6028"/>
    <w:rsid w:val="00CD0D4C"/>
    <w:rsid w:val="00CD2C75"/>
    <w:rsid w:val="00CD34B6"/>
    <w:rsid w:val="00CE149D"/>
    <w:rsid w:val="00CE2282"/>
    <w:rsid w:val="00CE413F"/>
    <w:rsid w:val="00CF7097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39C5"/>
    <w:rsid w:val="00D24F28"/>
    <w:rsid w:val="00D27388"/>
    <w:rsid w:val="00D31B0C"/>
    <w:rsid w:val="00D33477"/>
    <w:rsid w:val="00D37353"/>
    <w:rsid w:val="00D42B76"/>
    <w:rsid w:val="00D4300E"/>
    <w:rsid w:val="00D46AEE"/>
    <w:rsid w:val="00D51EFF"/>
    <w:rsid w:val="00D54411"/>
    <w:rsid w:val="00D6624A"/>
    <w:rsid w:val="00D70A58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943B8"/>
    <w:rsid w:val="00DA24FB"/>
    <w:rsid w:val="00DA5CD1"/>
    <w:rsid w:val="00DB02E0"/>
    <w:rsid w:val="00DC160B"/>
    <w:rsid w:val="00DC2418"/>
    <w:rsid w:val="00DC5216"/>
    <w:rsid w:val="00DC5A3B"/>
    <w:rsid w:val="00DD1ABF"/>
    <w:rsid w:val="00DE5AAC"/>
    <w:rsid w:val="00DE5D62"/>
    <w:rsid w:val="00DE712F"/>
    <w:rsid w:val="00DF5D91"/>
    <w:rsid w:val="00DF78FA"/>
    <w:rsid w:val="00E041B5"/>
    <w:rsid w:val="00E06611"/>
    <w:rsid w:val="00E07438"/>
    <w:rsid w:val="00E1719F"/>
    <w:rsid w:val="00E17303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4B22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C1BDA"/>
    <w:rsid w:val="00EC2A6A"/>
    <w:rsid w:val="00EC3B61"/>
    <w:rsid w:val="00EC593C"/>
    <w:rsid w:val="00EC5C79"/>
    <w:rsid w:val="00ED5738"/>
    <w:rsid w:val="00ED7FD5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6078"/>
    <w:rsid w:val="00F56084"/>
    <w:rsid w:val="00F6438C"/>
    <w:rsid w:val="00F64909"/>
    <w:rsid w:val="00F661A2"/>
    <w:rsid w:val="00F71AAD"/>
    <w:rsid w:val="00F7435D"/>
    <w:rsid w:val="00F80D72"/>
    <w:rsid w:val="00F81F3D"/>
    <w:rsid w:val="00F82F72"/>
    <w:rsid w:val="00F91AFF"/>
    <w:rsid w:val="00F9299B"/>
    <w:rsid w:val="00F971D7"/>
    <w:rsid w:val="00FA2025"/>
    <w:rsid w:val="00FA2FC7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1F9A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0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3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21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12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3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68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7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21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46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04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48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856F3-C239-4E95-BD00-D6C86A46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993</Characters>
  <Application>Microsoft Office Word</Application>
  <DocSecurity>0</DocSecurity>
  <Lines>8</Lines>
  <Paragraphs>2</Paragraphs>
  <ScaleCrop>false</ScaleCrop>
  <Company>HP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2</cp:revision>
  <cp:lastPrinted>2025-05-07T01:43:00Z</cp:lastPrinted>
  <dcterms:created xsi:type="dcterms:W3CDTF">2025-12-04T09:54:00Z</dcterms:created>
  <dcterms:modified xsi:type="dcterms:W3CDTF">2025-12-04T09:54:00Z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