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8AED">
      <w:pPr>
        <w:pStyle w:val="2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600128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苏豪弘业</w:t>
      </w:r>
    </w:p>
    <w:p w14:paraId="2CE7354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2E33290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苏豪弘业股份有限公司</w:t>
      </w:r>
    </w:p>
    <w:p w14:paraId="52CFE532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6FC81D3D">
      <w:pPr>
        <w:wordWrap w:val="0"/>
        <w:spacing w:before="51" w:after="32"/>
        <w:ind w:right="619"/>
        <w:jc w:val="righ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</w:p>
    <w:tbl>
      <w:tblPr>
        <w:tblStyle w:val="10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07BF6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40A1CA87">
            <w:pPr>
              <w:pStyle w:val="13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3A836D82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5766AB5C">
            <w:pPr>
              <w:pStyle w:val="13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BD3DC9">
            <w:pPr>
              <w:pStyle w:val="13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2C6E38F0">
            <w:pPr>
              <w:pStyle w:val="13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06F14D2"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7D4171AB">
            <w:pPr>
              <w:pStyle w:val="13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6AD2D17"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4962A804">
            <w:pPr>
              <w:pStyle w:val="13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94DB5FA">
            <w:pPr>
              <w:pStyle w:val="13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7D2969A3">
            <w:pPr>
              <w:pStyle w:val="13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66D2979">
            <w:pPr>
              <w:pStyle w:val="13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</w:tr>
      <w:tr w14:paraId="71460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60DEDFFF">
            <w:pPr>
              <w:pStyle w:val="13"/>
              <w:spacing w:line="560" w:lineRule="exact"/>
              <w:ind w:left="107" w:right="96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516ADB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华泰证券股份有限公司、江苏苏豪人工智能应用创新产业专项基金</w:t>
            </w:r>
          </w:p>
        </w:tc>
      </w:tr>
      <w:tr w14:paraId="1965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9551801">
            <w:pPr>
              <w:pStyle w:val="13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FC7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日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:00</w:t>
            </w:r>
          </w:p>
        </w:tc>
      </w:tr>
      <w:tr w14:paraId="29A7C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7C5895AC">
            <w:pPr>
              <w:pStyle w:val="13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F11F93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南京</w:t>
            </w:r>
          </w:p>
        </w:tc>
      </w:tr>
      <w:tr w14:paraId="3E725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4ABB670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302E8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财务负责人 朱晓冬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sz w:val="20"/>
                <w:szCs w:val="20"/>
              </w:rPr>
              <w:t>董事会秘书 沈旭</w:t>
            </w:r>
          </w:p>
        </w:tc>
      </w:tr>
      <w:tr w14:paraId="4704A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7E9F9B7F">
            <w:pPr>
              <w:pStyle w:val="1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6E5A2C5">
            <w:pPr>
              <w:pStyle w:val="1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6C5F11A">
            <w:pPr>
              <w:pStyle w:val="13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95DACEC">
            <w:pPr>
              <w:pStyle w:val="13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130DD0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01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面对海外供应链转移的趋势，公司在海外产能布局（如东南亚工厂合作）或供应链管理方面有哪些应对措施？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面对供应链转移趋势，公司主要采取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三方面措施：</w:t>
            </w:r>
          </w:p>
          <w:p w14:paraId="540D18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（1）供应链布局调整：轻工工艺品板块，深化拓展“一带一路”市场，构建海外供应链体系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部分业务的订单已转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向越南合作工厂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出口原材料及半成品，以应对贸易环境变化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。</w:t>
            </w:r>
          </w:p>
          <w:p w14:paraId="68FC93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（2）拓展新兴市场：积极开拓“一带一路”共建国家及RCEP成员国市场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机电设备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紧抓制造业出海机遇，推动中国技术、装备和标准出口。</w:t>
            </w:r>
          </w:p>
          <w:p w14:paraId="1CCAC04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（3）强化创新驱动：推动玩具业务与人工智能等技术融合，打造“玩具+”产品矩阵；在跨境电商领域应用AI与大模型技术，升级自主研发系统，持续推进平台功能迭代和服务能级提升。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能源化工内贸业务是公司营收规模非常重要的一部分，毛利率是否相对偏低？在当前煤价波动背景下，公司如何控制库存风险？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大宗商品贸易行业毛利率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较低，与同行业上市公司情况基本一致。公司主要通过以下方式控制库存与现金流风险：积极协调核心供应商，建立保供应急机制；优化长协煤与现货煤的比例结构，稳定资源供应；提升港口周转效率，优化物流路径以降低成本；加强客户结构优化，提高直供客户比例；灵活运用金融工具管理价格及汇率波动风险。</w:t>
            </w:r>
          </w:p>
          <w:p w14:paraId="447EE8F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/>
                <w:sz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“ 文化+ 贸易”是公司的特色。请问公司旗下“ 爱涛”等文化品牌目前的运营情况如何？在文化数字化或艺术品交易方面是否有新的尝试？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子公司苏豪爱涛文化是公司文化特色业务的运营主体，其文化艺术工程业务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聚焦品牌项目，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打造精品工程。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承建的扬州中国大运河博物馆、新疆克州博物馆、南京绿博园城市客厅等项目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荣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获国家级、省级奖项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塑造了高品质文化工程品牌形象。</w:t>
            </w:r>
          </w:p>
          <w:p w14:paraId="557ED3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此外，苏豪爱涛文化依托其旗下的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江苏省工艺美术馆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和现代美术馆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，以“科技赋能艺术”为核心，运用智能交互模块等数字技术，提升观展体验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打造集展陈、体验、运营于一体的文化地标。通过举办主题展览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画展等活动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，搭建工艺与艺术的对话平台，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持续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提升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影响力。</w:t>
            </w:r>
          </w:p>
          <w:p w14:paraId="2D3DA6F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</w:p>
          <w:p w14:paraId="50A4334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 w:firstLineChars="0"/>
              <w:textAlignment w:val="auto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en-US" w:eastAsia="zh-CN" w:bidi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0"/>
                <w:szCs w:val="22"/>
                <w:lang w:val="zh-CN" w:eastAsia="zh-CN" w:bidi="zh-CN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市场非常关注传统外贸向数字贸易的转型。能否介绍一下公司目前在跨境电商业务上的布局进展？主要聚焦在哪些品类和平台？</w:t>
            </w:r>
          </w:p>
          <w:p w14:paraId="53D5A2F6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ascii="宋体" w:hAnsi="宋体" w:eastAsia="宋体" w:cs="宋体"/>
                <w:b w:val="0"/>
                <w:sz w:val="20"/>
              </w:rPr>
              <w:t>答: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目前公司跨境电商业务主要载体为控股子公司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苏豪云商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苏豪云商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积极探索国企跨境电商发展路径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坚持“数字化、科技化、国际化、品牌化、平台化”战略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，聚焦线上货物贸易与跨境综合服务。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品牌化方面，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苏豪云商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已成功培育千万美元级自有品牌2个、百万美元级品牌8个，在美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、加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拿大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、英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、欧盟等市场注册品牌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共计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22个。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苏豪云商在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亚马逊、SHEIN、TEMU、WAYFAIR等平台运营店铺130余个，主营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家具、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玩具宠物、家居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园艺、户外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等类目，并建立了柔性供应链研发中心。2024年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苏豪云商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获评亚马逊“年度传统外贸企业转型之星”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平台化方面，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苏豪云商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以“苏豪云”平台为核心，通过跨境代销、培训孵化、品牌出海及产业带合作赋能中小企业。</w:t>
            </w:r>
          </w:p>
          <w:p w14:paraId="77834DC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未来是否有相对稳定的分红规划？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公司充分认识股东回报不仅是履行对股东的责任，更是提升公司市场形象、增强投资者信心、吸引长期资本、优化治理结构的重要举措。公司高度重视股东回报，持续增强回报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机制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。《公司章程》中明确了科学、持续、稳定的利润分配决策和监督机制，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制定了未来三年（2024年-2026年）股东回报规划，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以保障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利润分配政策的连续性和稳定性。</w:t>
            </w:r>
            <w:bookmarkStart w:id="0" w:name="_GoBack"/>
            <w:bookmarkEnd w:id="0"/>
          </w:p>
          <w:p w14:paraId="74293E2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自1997年上市以来，公司累计现金分红26次。近年来，公司积极响应新“国九条”及配套政策中加强分红的要求，2022年-2024年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平均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分红率达70.80%。</w:t>
            </w:r>
          </w:p>
          <w:p w14:paraId="69198C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01"/>
              <w:textAlignment w:val="auto"/>
              <w:rPr>
                <w:rFonts w:hint="eastAsia" w:ascii="宋体" w:hAnsi="宋体" w:eastAsia="宋体" w:cs="宋体"/>
                <w:b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公司在激励机制（如股权激励、职业经理人制度）方面是否有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相关举措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？</w:t>
            </w:r>
            <w:r>
              <w:rPr>
                <w:rFonts w:ascii="宋体" w:hAnsi="宋体" w:eastAsia="宋体" w:cs="宋体"/>
                <w:b/>
                <w:sz w:val="20"/>
              </w:rPr>
              <w:br w:type="textWrapping"/>
            </w:r>
            <w:r>
              <w:rPr>
                <w:rFonts w:ascii="宋体" w:hAnsi="宋体" w:eastAsia="宋体" w:cs="宋体"/>
                <w:b w:val="0"/>
                <w:sz w:val="20"/>
              </w:rPr>
              <w:t xml:space="preserve">    答: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十四五</w:t>
            </w: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期间，公司以国企改革三年行动和深化提升行动为契机，不断深化体制机制改革。公司及下属子企业全面推行经理层成员任期制和契约化管理，构建现代企业制度下的新型经营责任制；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新兴业务领域企业持续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推进</w:t>
            </w:r>
            <w:r>
              <w:rPr>
                <w:rFonts w:hint="eastAsia" w:ascii="宋体" w:hAnsi="宋体" w:eastAsia="宋体" w:cs="宋体"/>
                <w:b w:val="0"/>
                <w:sz w:val="20"/>
              </w:rPr>
              <w:t>职业经理人改革试点，以市场化机制激活人才活力；2025年，公司实施了上市以来首次限制性股票激励计划，有效绑定管理层、核心员工与公司长期利益，充分激发团队提升公司价值的主动性与积极性，为企业持续发展注入内生动力。</w:t>
            </w:r>
          </w:p>
          <w:p w14:paraId="34CD4C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ind w:firstLine="40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公司未来3年增长驱动和风险点分别有哪些？</w:t>
            </w:r>
          </w:p>
          <w:p w14:paraId="62E01EA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答：当前，面对复杂多变的国际形势与国内经济转型升级的攻坚期，公司锚定发展战略，聚焦主业，持续提升发展质量与效益。未来增长主要从三方面驱动：</w:t>
            </w:r>
          </w:p>
          <w:p w14:paraId="226FAE4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（1）提升核心竞争力。深化品牌建设与产品创新，巩固传统市场并拓展“一带一路”，探索构建海外供应链，推动内外贸一体化；通过对标行业一流，持续增收提效、降本优化。</w:t>
            </w:r>
          </w:p>
          <w:p w14:paraId="349F9B5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（2）增强核心功能。服务区域能源安全，强化热电资源协同与煤炭跨省协作；依托长协机制与区位优势，深化能源供应链布局；灵活运用金融工具，构建专业化化工贸易体系，紧抓制造业出海机遇。</w:t>
            </w:r>
          </w:p>
          <w:p w14:paraId="29A390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（3）培育新动能。优化创新机制，深化产学研合作；推动玩具研发中心升级与跨境电商数字化；围绕节能环保、化工新材料等领域布局，加快形成第二增长曲线。</w:t>
            </w:r>
          </w:p>
          <w:p w14:paraId="15E2845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主要风险及应对包括：</w:t>
            </w:r>
          </w:p>
          <w:p w14:paraId="1E8EAA4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宏观经济与贸易政策风险：坚持高质量发展，优化业务结构，巩固外贸基本盘，拓展新兴业态。</w:t>
            </w:r>
          </w:p>
          <w:p w14:paraId="2F1210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大宗商品价格与汇率风险：加强市场研判，整合产业链资源，探索期现结合等模式，运用金融工具对冲风险。</w:t>
            </w:r>
          </w:p>
          <w:p w14:paraId="1C6CE2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局部市场风险：深化客户关系，拓展“一带一路”与RCEP市场，完善供应链布局，健全风险管控机制。</w:t>
            </w:r>
          </w:p>
          <w:p w14:paraId="6F9838C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6C4D7A50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  <w:lang w:val="en-US" w:eastAsia="zh-CN" w:bidi="zh-CN"/>
              </w:rPr>
              <w:t>8.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公司在东南亚进行布局时，公司对相应的风险有没有应对措施？</w:t>
            </w:r>
          </w:p>
          <w:p w14:paraId="14940B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答：公司目前拟拓展的东南亚国家（如马来西亚）国家关系和营商环境相对较为稳定，且主要以轻资产方式开展业务，投入规模较小，此外，公司尽可能使用人民币进行结算，以降低汇率波动风险。</w:t>
            </w:r>
          </w:p>
          <w:p w14:paraId="0C98E8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3E55F322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 w:firstLineChars="0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  <w:lang w:val="en-US" w:eastAsia="zh-CN" w:bidi="zh-CN"/>
              </w:rPr>
              <w:t>9.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公司以国内外贸易为核心。文化是特色板块，投资则是辅助领域，目前投资领域主要涵盖哪些范围？</w:t>
            </w:r>
          </w:p>
          <w:p w14:paraId="6D7FF41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firstLine="403"/>
              <w:textAlignment w:val="auto"/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答：公司目前投资主要围绕两个方向展开：一是赋能主业，围绕主责主业及产业链、供应链、价值链关键环节，实施主业拓展和强链补链。二是以业务协同为导向，加强新业态新模式领域的研究和挖掘，加快形成更具发展前景的新兴业务板块。</w:t>
            </w:r>
          </w:p>
          <w:p w14:paraId="435269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BCBD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5B4C0C1A">
            <w:pPr>
              <w:pStyle w:val="13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192DF1DC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93A28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6F45D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91707F7">
            <w:pPr>
              <w:pStyle w:val="13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2CCFC3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</w:p>
        </w:tc>
      </w:tr>
      <w:tr w14:paraId="1903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E9CA4FA">
            <w:pPr>
              <w:pStyle w:val="13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513AE5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10FD42EC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1672D78"/>
    <w:rsid w:val="04B072D4"/>
    <w:rsid w:val="05F575D4"/>
    <w:rsid w:val="0614008D"/>
    <w:rsid w:val="064249C6"/>
    <w:rsid w:val="08641132"/>
    <w:rsid w:val="08700F98"/>
    <w:rsid w:val="09186774"/>
    <w:rsid w:val="0945438F"/>
    <w:rsid w:val="0A71587A"/>
    <w:rsid w:val="0B792C38"/>
    <w:rsid w:val="0C28640C"/>
    <w:rsid w:val="0E90599A"/>
    <w:rsid w:val="0ED720CD"/>
    <w:rsid w:val="0F5F06F9"/>
    <w:rsid w:val="12070CAE"/>
    <w:rsid w:val="145F688C"/>
    <w:rsid w:val="14D47131"/>
    <w:rsid w:val="15680001"/>
    <w:rsid w:val="15B80AFE"/>
    <w:rsid w:val="15DD2205"/>
    <w:rsid w:val="17072842"/>
    <w:rsid w:val="17A67110"/>
    <w:rsid w:val="1864189B"/>
    <w:rsid w:val="18D73A7D"/>
    <w:rsid w:val="191301AD"/>
    <w:rsid w:val="19557370"/>
    <w:rsid w:val="1BD06B6A"/>
    <w:rsid w:val="1C4E5334"/>
    <w:rsid w:val="1DF223D6"/>
    <w:rsid w:val="1F782BDE"/>
    <w:rsid w:val="204A6A53"/>
    <w:rsid w:val="23317869"/>
    <w:rsid w:val="25650CAE"/>
    <w:rsid w:val="26406598"/>
    <w:rsid w:val="28080056"/>
    <w:rsid w:val="28734C1A"/>
    <w:rsid w:val="28C72DDD"/>
    <w:rsid w:val="28D5527E"/>
    <w:rsid w:val="29C02878"/>
    <w:rsid w:val="29EE0E64"/>
    <w:rsid w:val="2BC4020A"/>
    <w:rsid w:val="2D6274EE"/>
    <w:rsid w:val="2EE41BF7"/>
    <w:rsid w:val="2EF90F16"/>
    <w:rsid w:val="2F125C63"/>
    <w:rsid w:val="302C3D0A"/>
    <w:rsid w:val="3104598F"/>
    <w:rsid w:val="33DE31BB"/>
    <w:rsid w:val="389C49C0"/>
    <w:rsid w:val="39BC78F4"/>
    <w:rsid w:val="3A903CC1"/>
    <w:rsid w:val="3B35486F"/>
    <w:rsid w:val="3BCA6BFF"/>
    <w:rsid w:val="3E0228F1"/>
    <w:rsid w:val="3EF1250A"/>
    <w:rsid w:val="40567DB0"/>
    <w:rsid w:val="40FF5CD2"/>
    <w:rsid w:val="42DB40B0"/>
    <w:rsid w:val="431A6502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56734CF"/>
    <w:rsid w:val="56850CBB"/>
    <w:rsid w:val="59D8738A"/>
    <w:rsid w:val="5A666D76"/>
    <w:rsid w:val="5B2253C2"/>
    <w:rsid w:val="5CF02E0F"/>
    <w:rsid w:val="5DEF016C"/>
    <w:rsid w:val="603269D2"/>
    <w:rsid w:val="61A52BCA"/>
    <w:rsid w:val="63251ED3"/>
    <w:rsid w:val="63AF496F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5B01C0"/>
    <w:rsid w:val="7DD37FAE"/>
    <w:rsid w:val="7FD6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3"/>
    <w:next w:val="3"/>
    <w:link w:val="17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字符"/>
    <w:basedOn w:val="11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批注文字 字符"/>
    <w:basedOn w:val="11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7">
    <w:name w:val="批注主题 字符"/>
    <w:basedOn w:val="16"/>
    <w:link w:val="9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8">
    <w:name w:val="批注框文本 字符"/>
    <w:basedOn w:val="11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2603</Words>
  <Characters>2687</Characters>
  <Lines>2</Lines>
  <Paragraphs>1</Paragraphs>
  <TotalTime>44</TotalTime>
  <ScaleCrop>false</ScaleCrop>
  <LinksUpToDate>false</LinksUpToDate>
  <CharactersWithSpaces>2775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caocheng@holly</cp:lastModifiedBy>
  <dcterms:modified xsi:type="dcterms:W3CDTF">2025-12-05T08:52:43Z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eyJoZGlkIjoiYjZkMGE5YmI5ODE0OTE1ZmZlMTg3YjQzNjk0ZDZlMjciLCJ1c2VySWQiOiIyNTY1NjkxODYifQ==</vt:lpwstr>
  </property>
</Properties>
</file>