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404FD">
      <w:pPr>
        <w:rPr>
          <w:rFonts w:ascii="黑体" w:hAnsi="黑体" w:eastAsia="黑体"/>
          <w:color w:val="FF0000"/>
          <w:sz w:val="44"/>
          <w:szCs w:val="44"/>
        </w:rPr>
      </w:pPr>
      <w:r>
        <w:rPr>
          <w:rFonts w:hint="eastAsia" w:ascii="黑体" w:hAnsi="黑体" w:eastAsia="黑体"/>
          <w:color w:val="FF0000"/>
          <w:sz w:val="44"/>
          <w:szCs w:val="44"/>
        </w:rPr>
        <w:t>中国北方稀土（集团）高科技股份有限公司</w:t>
      </w:r>
    </w:p>
    <w:p w14:paraId="36A01AFA">
      <w:pPr>
        <w:jc w:val="center"/>
        <w:rPr>
          <w:rFonts w:ascii="黑体" w:hAnsi="黑体" w:eastAsia="黑体"/>
          <w:color w:val="FF0000"/>
          <w:sz w:val="44"/>
          <w:szCs w:val="44"/>
        </w:rPr>
      </w:pPr>
      <w:r>
        <w:rPr>
          <w:rFonts w:hint="eastAsia" w:ascii="黑体" w:hAnsi="黑体" w:eastAsia="黑体"/>
          <w:color w:val="FF0000"/>
          <w:sz w:val="44"/>
          <w:szCs w:val="44"/>
        </w:rPr>
        <w:t>投资者关系活动记录表</w:t>
      </w:r>
    </w:p>
    <w:p w14:paraId="3737C415">
      <w:pPr>
        <w:jc w:val="right"/>
        <w:rPr>
          <w:rFonts w:ascii="宋体" w:hAnsi="宋体" w:eastAsia="宋体"/>
          <w:sz w:val="28"/>
          <w:szCs w:val="28"/>
        </w:rPr>
      </w:pPr>
      <w:r>
        <w:rPr>
          <w:rFonts w:hint="eastAsia" w:ascii="宋体" w:hAnsi="宋体" w:eastAsia="宋体"/>
          <w:sz w:val="28"/>
          <w:szCs w:val="28"/>
        </w:rPr>
        <w:t>编号：2</w:t>
      </w:r>
      <w:r>
        <w:rPr>
          <w:rFonts w:ascii="宋体" w:hAnsi="宋体" w:eastAsia="宋体"/>
          <w:sz w:val="28"/>
          <w:szCs w:val="28"/>
        </w:rPr>
        <w:t>025-0</w:t>
      </w:r>
      <w:r>
        <w:rPr>
          <w:rFonts w:hint="eastAsia" w:ascii="宋体" w:hAnsi="宋体" w:eastAsia="宋体"/>
          <w:sz w:val="28"/>
          <w:szCs w:val="28"/>
        </w:rPr>
        <w:t>29</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667"/>
      </w:tblGrid>
      <w:tr w14:paraId="270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vAlign w:val="center"/>
          </w:tcPr>
          <w:p w14:paraId="716A3C9B">
            <w:pPr>
              <w:spacing w:line="400" w:lineRule="exact"/>
              <w:jc w:val="center"/>
              <w:rPr>
                <w:rFonts w:ascii="宋体" w:hAnsi="宋体" w:eastAsia="宋体"/>
                <w:sz w:val="28"/>
                <w:szCs w:val="28"/>
              </w:rPr>
            </w:pPr>
            <w:r>
              <w:rPr>
                <w:rFonts w:hint="eastAsia" w:ascii="宋体" w:hAnsi="宋体" w:eastAsia="宋体"/>
                <w:sz w:val="28"/>
                <w:szCs w:val="28"/>
              </w:rPr>
              <w:t>投资者关系</w:t>
            </w:r>
          </w:p>
          <w:p w14:paraId="13A4047E">
            <w:pPr>
              <w:spacing w:line="400" w:lineRule="exact"/>
              <w:jc w:val="center"/>
              <w:rPr>
                <w:rFonts w:ascii="宋体" w:hAnsi="宋体" w:eastAsia="宋体"/>
                <w:sz w:val="28"/>
                <w:szCs w:val="28"/>
              </w:rPr>
            </w:pPr>
            <w:r>
              <w:rPr>
                <w:rFonts w:hint="eastAsia" w:ascii="宋体" w:hAnsi="宋体" w:eastAsia="宋体"/>
                <w:sz w:val="28"/>
                <w:szCs w:val="28"/>
              </w:rPr>
              <w:t>活动类别</w:t>
            </w:r>
          </w:p>
        </w:tc>
        <w:tc>
          <w:tcPr>
            <w:tcW w:w="6667" w:type="dxa"/>
          </w:tcPr>
          <w:p w14:paraId="164D04C2">
            <w:pPr>
              <w:spacing w:line="540" w:lineRule="exact"/>
              <w:rPr>
                <w:rFonts w:ascii="宋体" w:hAnsi="宋体" w:eastAsia="宋体"/>
                <w:sz w:val="28"/>
                <w:szCs w:val="28"/>
              </w:rPr>
            </w:pPr>
            <w:r>
              <w:rPr>
                <w:rFonts w:hint="eastAsia" w:ascii="宋体" w:hAnsi="宋体" w:eastAsia="宋体"/>
                <w:sz w:val="28"/>
                <w:szCs w:val="28"/>
              </w:rPr>
              <w:sym w:font="Wingdings 2" w:char="0052"/>
            </w:r>
            <w:r>
              <w:rPr>
                <w:rFonts w:hint="eastAsia" w:ascii="宋体" w:hAnsi="宋体" w:eastAsia="宋体"/>
                <w:sz w:val="28"/>
                <w:szCs w:val="28"/>
              </w:rPr>
              <w:t xml:space="preserve"> 特定对象调研 </w:t>
            </w:r>
            <w:r>
              <w:rPr>
                <w:rFonts w:ascii="宋体" w:hAnsi="宋体" w:eastAsia="宋体"/>
                <w:sz w:val="28"/>
                <w:szCs w:val="28"/>
              </w:rPr>
              <w:t xml:space="preserve">  </w:t>
            </w:r>
            <w:r>
              <w:rPr>
                <w:rFonts w:hint="eastAsia" w:ascii="宋体" w:hAnsi="宋体" w:eastAsia="宋体"/>
                <w:sz w:val="28"/>
                <w:szCs w:val="28"/>
              </w:rPr>
              <w:t xml:space="preserve">□ 分析师会议 </w:t>
            </w:r>
            <w:r>
              <w:rPr>
                <w:rFonts w:ascii="宋体" w:hAnsi="宋体" w:eastAsia="宋体"/>
                <w:sz w:val="28"/>
                <w:szCs w:val="28"/>
              </w:rPr>
              <w:t xml:space="preserve">      </w:t>
            </w:r>
          </w:p>
          <w:p w14:paraId="23BC35AF">
            <w:pPr>
              <w:spacing w:line="540" w:lineRule="exact"/>
              <w:rPr>
                <w:rFonts w:ascii="宋体" w:hAnsi="宋体" w:eastAsia="宋体"/>
                <w:sz w:val="28"/>
                <w:szCs w:val="28"/>
              </w:rPr>
            </w:pPr>
            <w:r>
              <w:rPr>
                <w:rFonts w:hint="eastAsia" w:ascii="宋体" w:hAnsi="宋体" w:eastAsia="宋体"/>
                <w:sz w:val="28"/>
                <w:szCs w:val="28"/>
              </w:rPr>
              <w:t xml:space="preserve">□ 媒体采访 </w:t>
            </w:r>
            <w:r>
              <w:rPr>
                <w:rFonts w:ascii="宋体" w:hAnsi="宋体" w:eastAsia="宋体"/>
                <w:sz w:val="28"/>
                <w:szCs w:val="28"/>
              </w:rPr>
              <w:t xml:space="preserve">      </w:t>
            </w:r>
            <w:r>
              <w:rPr>
                <w:rFonts w:hint="eastAsia" w:ascii="宋体" w:hAnsi="宋体" w:eastAsia="宋体"/>
                <w:sz w:val="28"/>
                <w:szCs w:val="28"/>
              </w:rPr>
              <w:t>□ 业绩说明会</w:t>
            </w:r>
          </w:p>
          <w:p w14:paraId="06643EB0">
            <w:pPr>
              <w:spacing w:line="540" w:lineRule="exact"/>
              <w:rPr>
                <w:rFonts w:ascii="宋体" w:hAnsi="宋体" w:eastAsia="宋体"/>
                <w:sz w:val="28"/>
                <w:szCs w:val="28"/>
              </w:rPr>
            </w:pPr>
            <w:r>
              <w:rPr>
                <w:rFonts w:hint="eastAsia" w:ascii="宋体" w:hAnsi="宋体" w:eastAsia="宋体"/>
                <w:sz w:val="28"/>
                <w:szCs w:val="28"/>
              </w:rPr>
              <w:t xml:space="preserve">□ 新闻发布会 </w:t>
            </w:r>
            <w:r>
              <w:rPr>
                <w:rFonts w:ascii="宋体" w:hAnsi="宋体" w:eastAsia="宋体"/>
                <w:sz w:val="28"/>
                <w:szCs w:val="28"/>
              </w:rPr>
              <w:t xml:space="preserve">    </w:t>
            </w:r>
            <w:r>
              <w:rPr>
                <w:rFonts w:hint="eastAsia" w:ascii="宋体" w:hAnsi="宋体" w:eastAsia="宋体"/>
                <w:sz w:val="28"/>
                <w:szCs w:val="28"/>
              </w:rPr>
              <w:t>□ 路演活动</w:t>
            </w:r>
          </w:p>
          <w:p w14:paraId="4EC59DAF">
            <w:pPr>
              <w:spacing w:line="540" w:lineRule="exact"/>
              <w:rPr>
                <w:rFonts w:ascii="宋体" w:hAnsi="宋体" w:eastAsia="宋体"/>
                <w:sz w:val="28"/>
                <w:szCs w:val="28"/>
              </w:rPr>
            </w:pPr>
            <w:r>
              <w:rPr>
                <w:rFonts w:hint="eastAsia" w:ascii="宋体" w:hAnsi="宋体" w:eastAsia="宋体"/>
                <w:sz w:val="28"/>
                <w:szCs w:val="28"/>
              </w:rPr>
              <w:t>□ 现场参观</w:t>
            </w:r>
          </w:p>
          <w:p w14:paraId="0E3F21D0">
            <w:pPr>
              <w:spacing w:line="540" w:lineRule="exact"/>
              <w:rPr>
                <w:rFonts w:ascii="宋体" w:hAnsi="宋体" w:eastAsia="宋体"/>
                <w:sz w:val="28"/>
                <w:szCs w:val="28"/>
              </w:rPr>
            </w:pPr>
            <w:r>
              <w:rPr>
                <w:rFonts w:hint="eastAsia" w:ascii="宋体" w:hAnsi="宋体" w:eastAsia="宋体"/>
                <w:sz w:val="28"/>
                <w:szCs w:val="28"/>
              </w:rPr>
              <w:t>□ 其他（请文字说明其他活动内容）</w:t>
            </w:r>
          </w:p>
        </w:tc>
      </w:tr>
      <w:tr w14:paraId="4A4A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7D75EC66">
            <w:pPr>
              <w:spacing w:line="240" w:lineRule="auto"/>
              <w:jc w:val="center"/>
              <w:rPr>
                <w:rFonts w:ascii="宋体" w:hAnsi="宋体" w:eastAsia="宋体"/>
                <w:sz w:val="28"/>
                <w:szCs w:val="28"/>
              </w:rPr>
            </w:pPr>
            <w:r>
              <w:rPr>
                <w:rFonts w:hint="eastAsia" w:ascii="宋体" w:hAnsi="宋体" w:eastAsia="宋体"/>
                <w:sz w:val="28"/>
                <w:szCs w:val="28"/>
              </w:rPr>
              <w:t>来访时间、参会单位（排名不分先后）</w:t>
            </w:r>
          </w:p>
        </w:tc>
        <w:tc>
          <w:tcPr>
            <w:tcW w:w="6667" w:type="dxa"/>
            <w:vAlign w:val="center"/>
          </w:tcPr>
          <w:p w14:paraId="5EC33B23">
            <w:pPr>
              <w:spacing w:line="240" w:lineRule="auto"/>
              <w:rPr>
                <w:rFonts w:ascii="宋体" w:hAnsi="宋体" w:eastAsia="宋体"/>
                <w:sz w:val="28"/>
                <w:szCs w:val="28"/>
              </w:rPr>
            </w:pPr>
            <w:r>
              <w:rPr>
                <w:rFonts w:hint="eastAsia" w:ascii="宋体" w:hAnsi="宋体" w:eastAsia="宋体"/>
                <w:sz w:val="28"/>
                <w:szCs w:val="28"/>
              </w:rPr>
              <w:t>2025年11月11日 浙商证券</w:t>
            </w:r>
          </w:p>
          <w:p w14:paraId="2FFAF9B8">
            <w:pPr>
              <w:spacing w:line="240" w:lineRule="auto"/>
              <w:rPr>
                <w:rFonts w:ascii="宋体" w:hAnsi="宋体" w:eastAsia="宋体"/>
                <w:sz w:val="28"/>
                <w:szCs w:val="28"/>
              </w:rPr>
            </w:pPr>
            <w:r>
              <w:rPr>
                <w:rFonts w:ascii="宋体" w:hAnsi="宋体" w:eastAsia="宋体"/>
                <w:sz w:val="28"/>
                <w:szCs w:val="28"/>
              </w:rPr>
              <w:t>2025</w:t>
            </w:r>
            <w:r>
              <w:rPr>
                <w:rFonts w:hint="eastAsia" w:ascii="宋体" w:hAnsi="宋体" w:eastAsia="宋体"/>
                <w:sz w:val="28"/>
                <w:szCs w:val="28"/>
              </w:rPr>
              <w:t>年11月27日 Citi</w:t>
            </w:r>
            <w:r>
              <w:rPr>
                <w:rFonts w:ascii="宋体" w:hAnsi="宋体" w:eastAsia="宋体"/>
                <w:sz w:val="28"/>
                <w:szCs w:val="28"/>
              </w:rPr>
              <w:t>group Global Markets Asia Limited</w:t>
            </w:r>
            <w:r>
              <w:rPr>
                <w:rFonts w:hint="eastAsia" w:ascii="宋体" w:hAnsi="宋体" w:eastAsia="宋体"/>
                <w:sz w:val="28"/>
                <w:szCs w:val="28"/>
              </w:rPr>
              <w:t>、</w:t>
            </w:r>
            <w:r>
              <w:rPr>
                <w:rFonts w:ascii="宋体" w:hAnsi="宋体" w:eastAsia="宋体"/>
                <w:sz w:val="28"/>
                <w:szCs w:val="28"/>
              </w:rPr>
              <w:t>Keywise Capital Management (HK) Ltd、Dymon Asia Capital (Singapore)、Nomura Asset Management、Janchor Partners、T Rowe Price、Manulife Asset Mgmt (HK) Ltd、Millennium Partners、Lazard Asset Mgmt LLC、Goldman Sachs Asset Management、Drummond Knight Asset Management、Janus Henderson Investors、SPX Capital Management LLC、Fountaincap Res &amp; Inv (HK) Co、Lion Global Investors Limited</w:t>
            </w:r>
          </w:p>
        </w:tc>
      </w:tr>
      <w:tr w14:paraId="4B2B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2" w:type="dxa"/>
            <w:vAlign w:val="center"/>
          </w:tcPr>
          <w:p w14:paraId="34B29467">
            <w:pPr>
              <w:spacing w:line="240" w:lineRule="auto"/>
              <w:jc w:val="center"/>
              <w:rPr>
                <w:rFonts w:ascii="宋体" w:hAnsi="宋体" w:eastAsia="宋体"/>
                <w:sz w:val="28"/>
                <w:szCs w:val="28"/>
              </w:rPr>
            </w:pPr>
            <w:r>
              <w:rPr>
                <w:rFonts w:hint="eastAsia" w:ascii="宋体" w:hAnsi="宋体" w:eastAsia="宋体"/>
                <w:sz w:val="28"/>
                <w:szCs w:val="28"/>
              </w:rPr>
              <w:t>地点及形式</w:t>
            </w:r>
          </w:p>
        </w:tc>
        <w:tc>
          <w:tcPr>
            <w:tcW w:w="6667" w:type="dxa"/>
            <w:vAlign w:val="center"/>
          </w:tcPr>
          <w:p w14:paraId="41F4108E">
            <w:pPr>
              <w:spacing w:line="240" w:lineRule="auto"/>
              <w:rPr>
                <w:rFonts w:ascii="宋体" w:hAnsi="宋体" w:eastAsia="宋体"/>
                <w:sz w:val="28"/>
                <w:szCs w:val="28"/>
              </w:rPr>
            </w:pPr>
            <w:r>
              <w:rPr>
                <w:rFonts w:hint="eastAsia" w:ascii="宋体" w:hAnsi="宋体" w:eastAsia="宋体"/>
                <w:sz w:val="28"/>
                <w:szCs w:val="28"/>
              </w:rPr>
              <w:t>公司会议室现场调研座谈、电话会议线上调研</w:t>
            </w:r>
          </w:p>
        </w:tc>
      </w:tr>
      <w:tr w14:paraId="46CD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122" w:type="dxa"/>
            <w:vAlign w:val="center"/>
          </w:tcPr>
          <w:p w14:paraId="6E94E2E1">
            <w:pPr>
              <w:spacing w:line="400" w:lineRule="exact"/>
              <w:jc w:val="center"/>
              <w:rPr>
                <w:rFonts w:ascii="宋体" w:hAnsi="宋体" w:eastAsia="宋体"/>
                <w:sz w:val="28"/>
                <w:szCs w:val="28"/>
              </w:rPr>
            </w:pPr>
            <w:r>
              <w:rPr>
                <w:rFonts w:hint="eastAsia" w:ascii="宋体" w:hAnsi="宋体" w:eastAsia="宋体"/>
                <w:sz w:val="28"/>
                <w:szCs w:val="28"/>
              </w:rPr>
              <w:t>公司接待人员</w:t>
            </w:r>
          </w:p>
        </w:tc>
        <w:tc>
          <w:tcPr>
            <w:tcW w:w="6667" w:type="dxa"/>
            <w:vAlign w:val="center"/>
          </w:tcPr>
          <w:p w14:paraId="60D0D6CF">
            <w:pPr>
              <w:spacing w:line="540" w:lineRule="exact"/>
              <w:rPr>
                <w:rFonts w:ascii="宋体" w:hAnsi="宋体" w:eastAsia="宋体"/>
                <w:sz w:val="28"/>
                <w:szCs w:val="28"/>
              </w:rPr>
            </w:pPr>
            <w:r>
              <w:rPr>
                <w:rFonts w:hint="eastAsia" w:ascii="宋体" w:hAnsi="宋体" w:eastAsia="宋体"/>
                <w:sz w:val="28"/>
                <w:szCs w:val="28"/>
              </w:rPr>
              <w:t>公司董事、董事会秘</w:t>
            </w:r>
            <w:r>
              <w:rPr>
                <w:rFonts w:hint="eastAsia" w:ascii="宋体" w:hAnsi="宋体" w:eastAsia="宋体" w:cs="微软雅黑"/>
                <w:sz w:val="28"/>
                <w:szCs w:val="28"/>
              </w:rPr>
              <w:t>书</w:t>
            </w:r>
            <w:r>
              <w:rPr>
                <w:rFonts w:hint="eastAsia" w:ascii="宋体" w:hAnsi="宋体" w:eastAsia="宋体" w:cs="MS Gothic"/>
                <w:sz w:val="28"/>
                <w:szCs w:val="28"/>
              </w:rPr>
              <w:t>、首席合</w:t>
            </w:r>
            <w:r>
              <w:rPr>
                <w:rFonts w:hint="eastAsia" w:ascii="宋体" w:hAnsi="宋体" w:eastAsia="宋体" w:cs="微软雅黑"/>
                <w:sz w:val="28"/>
                <w:szCs w:val="28"/>
              </w:rPr>
              <w:t>规</w:t>
            </w:r>
            <w:r>
              <w:rPr>
                <w:rFonts w:hint="eastAsia" w:ascii="宋体" w:hAnsi="宋体" w:eastAsia="宋体" w:cs="MS Gothic"/>
                <w:sz w:val="28"/>
                <w:szCs w:val="28"/>
              </w:rPr>
              <w:t>官吴永</w:t>
            </w:r>
            <w:r>
              <w:rPr>
                <w:rFonts w:hint="eastAsia" w:ascii="宋体" w:hAnsi="宋体" w:eastAsia="宋体" w:cs="微软雅黑"/>
                <w:sz w:val="28"/>
                <w:szCs w:val="28"/>
              </w:rPr>
              <w:t>钢先生</w:t>
            </w:r>
            <w:r>
              <w:rPr>
                <w:rFonts w:hint="eastAsia" w:ascii="宋体" w:hAnsi="宋体" w:eastAsia="宋体"/>
                <w:sz w:val="28"/>
                <w:szCs w:val="28"/>
              </w:rPr>
              <w:t>，证券部等相关部</w:t>
            </w:r>
            <w:r>
              <w:rPr>
                <w:rFonts w:hint="eastAsia" w:ascii="宋体" w:hAnsi="宋体" w:eastAsia="宋体" w:cs="微软雅黑"/>
                <w:sz w:val="28"/>
                <w:szCs w:val="28"/>
              </w:rPr>
              <w:t>门</w:t>
            </w:r>
            <w:r>
              <w:rPr>
                <w:rFonts w:hint="eastAsia" w:ascii="宋体" w:hAnsi="宋体" w:eastAsia="宋体"/>
                <w:sz w:val="28"/>
                <w:szCs w:val="28"/>
              </w:rPr>
              <w:t>人</w:t>
            </w:r>
            <w:r>
              <w:rPr>
                <w:rFonts w:hint="eastAsia" w:ascii="宋体" w:hAnsi="宋体" w:eastAsia="宋体" w:cs="微软雅黑"/>
                <w:sz w:val="28"/>
                <w:szCs w:val="28"/>
              </w:rPr>
              <w:t>员</w:t>
            </w:r>
            <w:r>
              <w:rPr>
                <w:rFonts w:hint="eastAsia" w:ascii="宋体" w:hAnsi="宋体" w:eastAsia="宋体"/>
                <w:sz w:val="28"/>
                <w:szCs w:val="28"/>
              </w:rPr>
              <w:t>。</w:t>
            </w:r>
          </w:p>
        </w:tc>
      </w:tr>
      <w:tr w14:paraId="4DF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22" w:type="dxa"/>
            <w:vAlign w:val="center"/>
          </w:tcPr>
          <w:p w14:paraId="5C7832FD">
            <w:pPr>
              <w:spacing w:line="400" w:lineRule="exact"/>
              <w:jc w:val="center"/>
              <w:rPr>
                <w:rFonts w:ascii="宋体" w:hAnsi="宋体" w:eastAsia="宋体"/>
                <w:sz w:val="28"/>
                <w:szCs w:val="28"/>
              </w:rPr>
            </w:pPr>
            <w:r>
              <w:rPr>
                <w:rFonts w:hint="eastAsia" w:ascii="宋体" w:hAnsi="宋体" w:eastAsia="宋体"/>
                <w:sz w:val="28"/>
                <w:szCs w:val="28"/>
              </w:rPr>
              <w:t>投资者关系活动主要内容</w:t>
            </w:r>
          </w:p>
        </w:tc>
        <w:tc>
          <w:tcPr>
            <w:tcW w:w="6667" w:type="dxa"/>
          </w:tcPr>
          <w:p w14:paraId="222DFD2A">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问：公司怎么看今年的稀土总量控制指标？</w:t>
            </w:r>
          </w:p>
          <w:p w14:paraId="446CEF88">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稀土管理条例》第十条规定：“国家根据稀土资源储量和种类差异、产业发展、生态保护、市场需求等因素，对稀土开采和稀土冶炼分离实行总量调控，并优化动态管理。具体办法由国务院工业和信息化主管部门会同国务院自然资源、发展改革等部门制定。”今年总量控制指标也会综合考虑市场、企业生产以及稀土行业的供应与需求等情况制定。</w:t>
            </w:r>
          </w:p>
          <w:p w14:paraId="4BA7F804">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问：公司怎么看今年稀土产品价格上涨</w:t>
            </w:r>
            <w:r>
              <w:rPr>
                <w:rFonts w:ascii="宋体" w:hAnsi="宋体" w:eastAsia="宋体"/>
                <w:b/>
                <w:sz w:val="28"/>
                <w:szCs w:val="28"/>
              </w:rPr>
              <w:t>?</w:t>
            </w:r>
          </w:p>
          <w:p w14:paraId="0854E7AA">
            <w:pPr>
              <w:spacing w:line="500" w:lineRule="exact"/>
              <w:ind w:firstLine="560" w:firstLineChars="200"/>
              <w:rPr>
                <w:rFonts w:ascii="宋体" w:hAnsi="宋体" w:eastAsia="宋体"/>
                <w:color w:val="FF0000"/>
                <w:sz w:val="28"/>
                <w:szCs w:val="28"/>
              </w:rPr>
            </w:pPr>
            <w:r>
              <w:rPr>
                <w:rFonts w:hint="eastAsia" w:ascii="宋体" w:hAnsi="宋体" w:eastAsia="宋体"/>
                <w:sz w:val="28"/>
                <w:szCs w:val="28"/>
              </w:rPr>
              <w:t>答：稀土产品价格主要受市场供需、成本、预期等多方面影响。稀土产品价格平稳有序的在合理区间内波动，更有利于稀土产业链上下游的发展。</w:t>
            </w:r>
          </w:p>
          <w:p w14:paraId="0F18A5D2">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问：公司稀土产品的销售模式是什么？如何定价？</w:t>
            </w:r>
          </w:p>
          <w:p w14:paraId="25979B0A">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答：公司目前出售的稀土产品一般采取长协、零售和竞拍的销售模式，长协约占50%以上。公司的销售价格结合市场需求、市场价格波动及实际成交情况等制定，也会参考包头稀土产品交易所的价格。</w:t>
            </w:r>
          </w:p>
          <w:p w14:paraId="5A79058E">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问：公司之前在包头稀土产品交易所做的稀土产品拍卖是出于什么考虑？</w:t>
            </w:r>
          </w:p>
          <w:p w14:paraId="5EB432DF">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竞拍是公司向下游企业出售的稀土产品的一种销售模式，是公司为了更加贴合市场、适应市场、检验产品价格与市场契合度做出的举措之一，近期由于稀土产品价格上涨受到了更多的关注。稀土产品的价格受市场供需影响，但市场预期也会影响价格。目前稀土产品的价格在逐步上移，公司拿出一部分稀土产品放到包头稀土产品交易所拍卖，通过实际成交情况研判下游应用和终端客户对稀土产品价格的接受程度。</w:t>
            </w:r>
          </w:p>
          <w:p w14:paraId="6A257954">
            <w:pPr>
              <w:spacing w:line="500" w:lineRule="exact"/>
              <w:ind w:firstLine="562" w:firstLineChars="200"/>
              <w:rPr>
                <w:rFonts w:ascii="宋体" w:hAnsi="宋体" w:eastAsia="宋体"/>
                <w:bCs/>
                <w:sz w:val="28"/>
                <w:szCs w:val="28"/>
              </w:rPr>
            </w:pPr>
            <w:r>
              <w:rPr>
                <w:rFonts w:hint="eastAsia" w:ascii="宋体" w:hAnsi="宋体" w:eastAsia="宋体"/>
                <w:b/>
                <w:sz w:val="28"/>
                <w:szCs w:val="28"/>
              </w:rPr>
              <w:t>问：白云鄂博矿的中重稀土储量有多少？</w:t>
            </w:r>
          </w:p>
          <w:p w14:paraId="664F6AA7">
            <w:pPr>
              <w:spacing w:line="500" w:lineRule="exact"/>
              <w:ind w:firstLine="560" w:firstLineChars="200"/>
              <w:rPr>
                <w:rFonts w:ascii="宋体" w:hAnsi="宋体" w:eastAsia="宋体"/>
                <w:b/>
                <w:color w:val="FF0000"/>
                <w:sz w:val="28"/>
                <w:szCs w:val="28"/>
              </w:rPr>
            </w:pPr>
            <w:r>
              <w:rPr>
                <w:rFonts w:hint="eastAsia" w:ascii="宋体" w:hAnsi="宋体" w:eastAsia="宋体"/>
                <w:bCs/>
                <w:sz w:val="28"/>
                <w:szCs w:val="28"/>
              </w:rPr>
              <w:t>答：根据白云鄂博稀土矿稀土元素配分，轻稀土元素约占98%，中重稀土元素约占2%，据此结合白云鄂博稀土资源总储量测算，白云鄂博矿的中重稀土总量约几十万吨。面对全球稀土资源供应格局变化，公司致力于对稀土全元素的研究应用，对全品类产品予以高度关注，不断通过技术创新，加大科研投入，为下游客户提供性价比高的产品或方案。</w:t>
            </w:r>
          </w:p>
          <w:p w14:paraId="63812EEE">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问：公司的稀土二次资源利用情况如何？</w:t>
            </w:r>
          </w:p>
          <w:p w14:paraId="7489BF6A">
            <w:pPr>
              <w:spacing w:line="500" w:lineRule="exact"/>
              <w:ind w:firstLine="560" w:firstLineChars="200"/>
              <w:rPr>
                <w:rFonts w:ascii="宋体" w:hAnsi="宋体" w:eastAsia="宋体"/>
                <w:b/>
                <w:color w:val="FF0000"/>
                <w:sz w:val="28"/>
                <w:szCs w:val="28"/>
              </w:rPr>
            </w:pPr>
            <w:r>
              <w:rPr>
                <w:rFonts w:hint="eastAsia" w:ascii="宋体" w:hAnsi="宋体" w:eastAsia="宋体"/>
                <w:bCs/>
                <w:sz w:val="28"/>
                <w:szCs w:val="28"/>
              </w:rPr>
              <w:t>答：在当前绿色低碳的背景下，稀土二次资源利用前景广阔。《稀土管理条例》明确鼓励和支持企业利用先进适用技术、工艺，对稀土二次资源进行综合利用，而当下新能源汽车、风电、消费电子等领域对稀土需求的不断攀升，也为稀土二次资源利用提供了更多资源。公司控股子公司信丰新利主要从事废料回收业务，拥有年产4960吨废料回收生产能力，在行业单体企业中规模较大；公司控股子公司金蒙稀土4000吨REO/年钕铁硼废料回收项目建设也在有序推进中。</w:t>
            </w:r>
            <w:r>
              <w:rPr>
                <w:rFonts w:hint="eastAsia" w:ascii="宋体" w:hAnsi="宋体" w:eastAsia="宋体"/>
                <w:sz w:val="28"/>
                <w:szCs w:val="28"/>
              </w:rPr>
              <w:t>对于稀土镨钕金属销售后的废料返还，自2022年起公司与下游磁材企业签订供货协议时，约定了使用公司稀土镨钕金属的磁材企业在自己生产制造环节产生的生产性废料，要按照市场化的原则返回公司进行资源回收利用。目前，公司已经形成从原矿到金属、磁材以及磁材产生废料进行回收的循环利用。</w:t>
            </w:r>
            <w:r>
              <w:rPr>
                <w:rFonts w:hint="eastAsia" w:ascii="宋体" w:hAnsi="宋体" w:eastAsia="宋体"/>
                <w:bCs/>
                <w:sz w:val="28"/>
                <w:szCs w:val="28"/>
              </w:rPr>
              <w:t>公司积极布局发展稀土二次资源利用产业，打造万吨级资源循环利用产能规模，通过有效利用二次资源实现稀土全元素回收利用，提升稀土元素的经济价值。</w:t>
            </w:r>
          </w:p>
          <w:p w14:paraId="1259FD21">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问：国外从事稀土生产企业与我国稀土冶炼分离企业在技术上的差距如何？</w:t>
            </w:r>
          </w:p>
          <w:p w14:paraId="443B295E">
            <w:pPr>
              <w:spacing w:line="500" w:lineRule="exact"/>
              <w:ind w:firstLine="600"/>
              <w:rPr>
                <w:rFonts w:ascii="宋体" w:hAnsi="宋体" w:eastAsia="宋体"/>
                <w:b/>
                <w:color w:val="FF0000"/>
                <w:sz w:val="28"/>
                <w:szCs w:val="28"/>
              </w:rPr>
            </w:pPr>
            <w:r>
              <w:rPr>
                <w:rFonts w:hint="eastAsia" w:ascii="宋体" w:hAnsi="宋体" w:eastAsia="宋体"/>
                <w:bCs/>
                <w:sz w:val="28"/>
                <w:szCs w:val="28"/>
              </w:rPr>
              <w:t>答:</w:t>
            </w:r>
            <w:bookmarkStart w:id="0" w:name="_GoBack"/>
            <w:bookmarkEnd w:id="0"/>
            <w:r>
              <w:rPr>
                <w:rFonts w:hint="eastAsia" w:ascii="宋体" w:hAnsi="宋体" w:eastAsia="宋体"/>
                <w:bCs/>
                <w:sz w:val="28"/>
                <w:szCs w:val="28"/>
              </w:rPr>
              <w:t>我国稀土冶炼分离企业在全球处于显著的领先地位，主要体现在以下方面：一是资源储量丰富，我国是全球稀土资源最丰富的国家；二是加工技术先进，我国在稀土冶炼分离等加工技术方面目前处于世界领先地位，具有明显的技术优势和规模优势，尤其是公司有着六十多年的技术积淀，三代人的持续改进使生产工艺更加优化。国家商务部、科技部于2023年12月21日公布《中国禁止出口限制出口技术目录》，将稀土的提炼、加工、利用技术列为禁止出口技术；三是产业链完整，我国稀土产业链覆盖开采、选矿、冶炼分离、深加工及终端应用等环节，稀土永磁材料为节能降碳提供了绿色选择；四是应用广泛，我国不仅是稀土供应国，更是重要的稀土消费国，国内的稀土产品广泛应用于新能源汽车、绿色风电、消费电子、机器人、军工、医疗等众多领域，为我国稀土产业的发展提供了重要支撑。</w:t>
            </w:r>
          </w:p>
          <w:p w14:paraId="4C122EE2">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问：公司与包钢股份稀土精矿交易定价机制如何？</w:t>
            </w:r>
          </w:p>
          <w:p w14:paraId="665E7D6C">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p w14:paraId="28C34927">
            <w:pPr>
              <w:spacing w:line="500" w:lineRule="exact"/>
              <w:ind w:firstLine="562" w:firstLineChars="200"/>
              <w:rPr>
                <w:rFonts w:ascii="宋体" w:hAnsi="宋体" w:eastAsia="宋体"/>
                <w:b/>
                <w:sz w:val="28"/>
                <w:szCs w:val="28"/>
              </w:rPr>
            </w:pPr>
            <w:r>
              <w:rPr>
                <w:rFonts w:hint="eastAsia" w:ascii="宋体" w:hAnsi="宋体" w:eastAsia="宋体"/>
                <w:b/>
                <w:sz w:val="28"/>
                <w:szCs w:val="28"/>
              </w:rPr>
              <w:t>问：公司在稀土下游功能材料有何布局？</w:t>
            </w:r>
          </w:p>
          <w:p w14:paraId="20E46273">
            <w:pPr>
              <w:spacing w:line="500" w:lineRule="exact"/>
              <w:ind w:firstLine="560" w:firstLineChars="200"/>
              <w:rPr>
                <w:rFonts w:ascii="宋体" w:hAnsi="宋体" w:eastAsia="宋体"/>
                <w:bCs/>
                <w:sz w:val="28"/>
                <w:szCs w:val="28"/>
              </w:rPr>
            </w:pPr>
            <w:r>
              <w:rPr>
                <w:rFonts w:hint="eastAsia" w:ascii="宋体" w:hAnsi="宋体" w:eastAsia="宋体"/>
                <w:bCs/>
                <w:sz w:val="28"/>
                <w:szCs w:val="28"/>
              </w:rPr>
              <w:t>答：经过多年发展，公司在行业内率先发展成为集稀土冶炼分离、功能材料、应用产品、科研和贸易一体化的集团化上市公司，形成以稀土资源为基础、冶炼分离为核心、新材料领域为重点、终端应用为拓展方向的产业结构，并依托创新驱动发展战略持续促进产业结构调整和转型升级，实现稀土上中下游一体化发展，构筑了行业领先的全产业链竞争优势。公司布局磁性材料、抛光材料、储能材料、催化助剂、高纯金属与合金、光功能材料六大产业，打通：（1）稀土永磁材料—永磁电机产业链，不断提升永磁电机生产能力；（2）打通稀土储氢材料—固态储氢产业链,围绕氢燃料重卡、固态储氢叉车、加氢站等固态储氢领域布局，推动产业化应用；（3）打通稀土合金—稀土铁、稀土铝镁中间合金产业链,建设高纯稀土金属、靶材规模化生产示范线,推动稀土铝镁合金在先进轨道交通、轻量化型材等应用上取得突破；（4）打通稀土催化材料—尾气净化功能器件产业链,聚焦工业尾气治理、机动车尾气净化、挥发性有机物治理以及石油化工等领域实现产业化；（5）巩固扩大稀土抛光材料产业国内外优势领先地位,突破高性能稀土抛光粉、高档玻璃基片抛光等高端产品生产技术，打破国外垄断；（6）拓展稀土光功能材料应用领域,加大对稀土多彩反射隔热涂料、稀土红外辐射材料、稀土红外蓄热温升材料的成果转化和推广应用。</w:t>
            </w:r>
          </w:p>
          <w:p w14:paraId="5AD20137">
            <w:pPr>
              <w:spacing w:line="500" w:lineRule="exact"/>
              <w:ind w:firstLine="600"/>
              <w:rPr>
                <w:rFonts w:ascii="宋体" w:hAnsi="宋体" w:eastAsia="宋体"/>
                <w:b/>
                <w:sz w:val="28"/>
                <w:szCs w:val="28"/>
              </w:rPr>
            </w:pPr>
            <w:r>
              <w:rPr>
                <w:rFonts w:hint="eastAsia" w:ascii="宋体" w:hAnsi="宋体" w:eastAsia="宋体"/>
                <w:b/>
                <w:sz w:val="28"/>
                <w:szCs w:val="28"/>
              </w:rPr>
              <w:t>问：公司在稀土永磁电机领域有何进展及规划？</w:t>
            </w:r>
          </w:p>
          <w:p w14:paraId="595C6037">
            <w:pPr>
              <w:spacing w:line="500" w:lineRule="exact"/>
              <w:ind w:firstLine="600"/>
              <w:rPr>
                <w:rFonts w:ascii="宋体" w:hAnsi="宋体" w:eastAsia="宋体"/>
                <w:bCs/>
                <w:sz w:val="28"/>
                <w:szCs w:val="28"/>
              </w:rPr>
            </w:pPr>
            <w:r>
              <w:rPr>
                <w:rFonts w:hint="eastAsia" w:ascii="宋体" w:hAnsi="宋体" w:eastAsia="宋体"/>
                <w:bCs/>
                <w:sz w:val="28"/>
                <w:szCs w:val="28"/>
              </w:rPr>
              <w:t>答：公司控股子公司北方嘉轩主要从事永磁电机的研发与制造，近日北方嘉轩的永磁技术解锁了更多节能场景：“永磁半直驱改造”方案在系统、性能、节能效果以及降低成本等方面具有绝对优势，高度契合国家高耗能设备淘汰政策，为皮带机升级提供新方向；永磁外转子滚筒电机具有预测性维护、能源管理、协同控制、回收价值高等特性，让生产再也不被突发故障打乱，智能驱动器还能记准每度电消耗，是专为皮带输送打造的“电机－滚筒一体化”智能方案；永磁智能直驱传动让工业传动模式在保持高效运行、降低故障风险、节能环保、节省安装空间的基础上，还能完美适配液压站、水泵、粉磨、破碎、运输、搅拌、冷却等各类复杂工业场景。目前北方嘉轩正在积极开拓市场，为实现智能化制造绿色化制造提供驱动力。公司主导完成的“低速大转矩稀土永磁驱动电机系统的研发”获得中国钢铁工业协会、中国金属学会冶金科学技术奖三等奖。</w:t>
            </w:r>
          </w:p>
          <w:p w14:paraId="47E4162A">
            <w:pPr>
              <w:spacing w:line="500" w:lineRule="exact"/>
              <w:ind w:firstLine="600"/>
              <w:rPr>
                <w:rFonts w:ascii="宋体" w:hAnsi="宋体" w:eastAsia="宋体"/>
                <w:bCs/>
                <w:sz w:val="28"/>
                <w:szCs w:val="28"/>
              </w:rPr>
            </w:pPr>
            <w:r>
              <w:rPr>
                <w:rFonts w:hint="eastAsia" w:ascii="宋体" w:hAnsi="宋体" w:eastAsia="宋体"/>
                <w:bCs/>
                <w:sz w:val="28"/>
                <w:szCs w:val="28"/>
              </w:rPr>
              <w:t>近期公司还搭建起国内首条稀土盘式电机智能示范线，该示范线产出的3瓦稀土永磁轴向磁通电机仅有6毫米厚，较同类产品体积减少60%、重量下降80%，且扭矩转速更高、能耗更小、寿命更长。可服务于消费电子产品、空调服、无人机、机器人关节模组、高端医疗、电子通信等多种使用场景，市场前景广阔。</w:t>
            </w:r>
          </w:p>
          <w:p w14:paraId="7F90CCB7">
            <w:pPr>
              <w:spacing w:line="500" w:lineRule="exact"/>
              <w:ind w:firstLine="600"/>
              <w:rPr>
                <w:rFonts w:ascii="宋体" w:hAnsi="宋体" w:eastAsia="宋体"/>
                <w:b/>
                <w:color w:val="FF0000"/>
                <w:sz w:val="28"/>
                <w:szCs w:val="28"/>
              </w:rPr>
            </w:pPr>
            <w:r>
              <w:rPr>
                <w:rFonts w:hint="eastAsia" w:ascii="宋体" w:hAnsi="宋体" w:eastAsia="宋体"/>
                <w:bCs/>
                <w:sz w:val="28"/>
                <w:szCs w:val="28"/>
              </w:rPr>
              <w:t>公司将在现有永磁电机产品技术积累基础上，坚持“围绕主业、适度拓展”的原则：一方面持续优化现有永磁电机产品的性能与成本结构，巩固核心领域市场竞争力；另一方面将结合市场需求变化，积极探索永磁电机在更多细分场景的应用延伸，提升永磁电机产业规模，推动永磁电机产业实现特色化、高质量发展，进一步强化公司在相关产业链中的价值地位。</w:t>
            </w:r>
          </w:p>
          <w:p w14:paraId="79B1B5A2">
            <w:pPr>
              <w:spacing w:line="500" w:lineRule="exact"/>
              <w:ind w:firstLine="562" w:firstLineChars="200"/>
              <w:rPr>
                <w:rFonts w:ascii="宋体" w:hAnsi="宋体" w:eastAsia="宋体"/>
                <w:b/>
                <w:bCs/>
                <w:sz w:val="28"/>
                <w:szCs w:val="28"/>
              </w:rPr>
            </w:pPr>
            <w:r>
              <w:rPr>
                <w:rFonts w:hint="eastAsia" w:ascii="宋体" w:hAnsi="宋体" w:eastAsia="宋体"/>
                <w:b/>
                <w:bCs/>
                <w:sz w:val="28"/>
                <w:szCs w:val="28"/>
              </w:rPr>
              <w:t>问：外购矿在公司原料端占比有多少？</w:t>
            </w:r>
          </w:p>
          <w:p w14:paraId="75836CD0">
            <w:pPr>
              <w:spacing w:line="500" w:lineRule="exact"/>
              <w:ind w:firstLine="600"/>
              <w:rPr>
                <w:rFonts w:ascii="宋体" w:hAnsi="宋体" w:eastAsia="宋体"/>
                <w:bCs/>
                <w:sz w:val="28"/>
                <w:szCs w:val="28"/>
              </w:rPr>
            </w:pPr>
            <w:r>
              <w:rPr>
                <w:rFonts w:hint="eastAsia" w:ascii="宋体" w:hAnsi="宋体" w:eastAsia="宋体"/>
                <w:bCs/>
                <w:sz w:val="28"/>
                <w:szCs w:val="28"/>
              </w:rPr>
              <w:t>答：公司生产所需的稀土原料主要来源于白云鄂博矿，该矿是全球最大的铁和稀土等多元素共生矿，公司也会外购矿，但比例很小，公司会根据产线情况、市场价格、下游客户需求等因素动态调整。</w:t>
            </w:r>
          </w:p>
        </w:tc>
      </w:tr>
      <w:tr w14:paraId="0EB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2"/>
            <w:vAlign w:val="center"/>
          </w:tcPr>
          <w:p w14:paraId="5E737748">
            <w:pPr>
              <w:spacing w:line="500" w:lineRule="exact"/>
              <w:rPr>
                <w:rFonts w:ascii="宋体" w:hAnsi="宋体" w:eastAsia="宋体"/>
                <w:sz w:val="28"/>
                <w:szCs w:val="28"/>
              </w:rPr>
            </w:pPr>
            <w:r>
              <w:rPr>
                <w:rFonts w:hint="eastAsia" w:ascii="宋体" w:hAnsi="宋体" w:eastAsia="宋体"/>
                <w:sz w:val="28"/>
                <w:szCs w:val="28"/>
              </w:rPr>
              <w:t>注：公司严格遵守信息披露法律法规与投资者交流，如涉及公司战略规划等意向性目标，不视为公司或管理层对公司业绩的保证或承诺，敬请广大投资者注意投资风险。</w:t>
            </w:r>
          </w:p>
        </w:tc>
      </w:tr>
    </w:tbl>
    <w:p w14:paraId="28810BA7">
      <w:pPr>
        <w:spacing w:line="20" w:lineRule="exact"/>
        <w:rPr>
          <w:rFonts w:ascii="宋体" w:hAnsi="宋体" w:eastAsia="宋体"/>
          <w:sz w:val="24"/>
        </w:rPr>
      </w:pPr>
    </w:p>
    <w:sectPr>
      <w:headerReference r:id="rId5" w:type="default"/>
      <w:footerReference r:id="rId6" w:type="default"/>
      <w:pgSz w:w="11906" w:h="16838"/>
      <w:pgMar w:top="1440" w:right="1800" w:bottom="1440" w:left="1800" w:header="680"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0574822"/>
    </w:sdtPr>
    <w:sdtEndPr>
      <w:rPr>
        <w:rFonts w:ascii="宋体" w:hAnsi="宋体" w:eastAsia="宋体"/>
        <w:sz w:val="28"/>
        <w:szCs w:val="28"/>
      </w:rPr>
    </w:sdtEndPr>
    <w:sdtContent>
      <w:p w14:paraId="0FABC26F">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F9621">
    <w:pPr>
      <w:rPr>
        <w:rFonts w:ascii="宋体" w:hAnsi="宋体" w:eastAsia="宋体"/>
        <w:sz w:val="21"/>
        <w:szCs w:val="21"/>
        <w:u w:val="single"/>
      </w:rPr>
    </w:pPr>
    <w:r>
      <w:rPr>
        <w:rFonts w:hint="eastAsia" w:ascii="宋体" w:hAnsi="宋体" w:eastAsia="宋体"/>
        <w:sz w:val="21"/>
        <w:szCs w:val="21"/>
        <w:u w:val="single"/>
      </w:rPr>
      <w:t>证券代码：6</w:t>
    </w:r>
    <w:r>
      <w:rPr>
        <w:rFonts w:ascii="宋体" w:hAnsi="宋体" w:eastAsia="宋体"/>
        <w:sz w:val="21"/>
        <w:szCs w:val="21"/>
        <w:u w:val="single"/>
      </w:rPr>
      <w:t xml:space="preserve">00111                                             </w:t>
    </w:r>
    <w:r>
      <w:rPr>
        <w:rFonts w:hint="eastAsia" w:ascii="宋体" w:hAnsi="宋体" w:eastAsia="宋体"/>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AA2"/>
    <w:rsid w:val="00023713"/>
    <w:rsid w:val="00025480"/>
    <w:rsid w:val="0003014A"/>
    <w:rsid w:val="0003024C"/>
    <w:rsid w:val="00031806"/>
    <w:rsid w:val="00032661"/>
    <w:rsid w:val="00032F0D"/>
    <w:rsid w:val="000346FE"/>
    <w:rsid w:val="00036037"/>
    <w:rsid w:val="00036970"/>
    <w:rsid w:val="00037106"/>
    <w:rsid w:val="000377E4"/>
    <w:rsid w:val="00037B97"/>
    <w:rsid w:val="000400A6"/>
    <w:rsid w:val="00042AFC"/>
    <w:rsid w:val="00044341"/>
    <w:rsid w:val="00044BE2"/>
    <w:rsid w:val="00046FE4"/>
    <w:rsid w:val="000477F1"/>
    <w:rsid w:val="0005078F"/>
    <w:rsid w:val="00050A51"/>
    <w:rsid w:val="0005145E"/>
    <w:rsid w:val="00051C3A"/>
    <w:rsid w:val="0005230D"/>
    <w:rsid w:val="0005319A"/>
    <w:rsid w:val="00053D25"/>
    <w:rsid w:val="0005613B"/>
    <w:rsid w:val="00056687"/>
    <w:rsid w:val="00057226"/>
    <w:rsid w:val="00060C58"/>
    <w:rsid w:val="0006189F"/>
    <w:rsid w:val="000625FA"/>
    <w:rsid w:val="00063B3A"/>
    <w:rsid w:val="00063F69"/>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2E6"/>
    <w:rsid w:val="000A73E5"/>
    <w:rsid w:val="000B0092"/>
    <w:rsid w:val="000B029B"/>
    <w:rsid w:val="000B13B7"/>
    <w:rsid w:val="000B2BB0"/>
    <w:rsid w:val="000B33AD"/>
    <w:rsid w:val="000B5229"/>
    <w:rsid w:val="000B6151"/>
    <w:rsid w:val="000B7040"/>
    <w:rsid w:val="000C19F9"/>
    <w:rsid w:val="000C5F6A"/>
    <w:rsid w:val="000C6531"/>
    <w:rsid w:val="000D354A"/>
    <w:rsid w:val="000E1D6C"/>
    <w:rsid w:val="000E2E94"/>
    <w:rsid w:val="000E32B8"/>
    <w:rsid w:val="000E3EA5"/>
    <w:rsid w:val="000E44B4"/>
    <w:rsid w:val="000E484B"/>
    <w:rsid w:val="000E5051"/>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2C1"/>
    <w:rsid w:val="001153EB"/>
    <w:rsid w:val="00115B8E"/>
    <w:rsid w:val="00116915"/>
    <w:rsid w:val="0012052A"/>
    <w:rsid w:val="00121EED"/>
    <w:rsid w:val="00122504"/>
    <w:rsid w:val="00122FF4"/>
    <w:rsid w:val="00123B39"/>
    <w:rsid w:val="00126B7D"/>
    <w:rsid w:val="00126E88"/>
    <w:rsid w:val="00127B11"/>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0C52"/>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35F7"/>
    <w:rsid w:val="00195F8E"/>
    <w:rsid w:val="001971CC"/>
    <w:rsid w:val="001A0AC0"/>
    <w:rsid w:val="001A2CB6"/>
    <w:rsid w:val="001B0864"/>
    <w:rsid w:val="001B12EC"/>
    <w:rsid w:val="001B290A"/>
    <w:rsid w:val="001B4C07"/>
    <w:rsid w:val="001B66C0"/>
    <w:rsid w:val="001B6861"/>
    <w:rsid w:val="001B7CBC"/>
    <w:rsid w:val="001C02D2"/>
    <w:rsid w:val="001C0F9B"/>
    <w:rsid w:val="001C2407"/>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135B"/>
    <w:rsid w:val="001E3120"/>
    <w:rsid w:val="001E4E65"/>
    <w:rsid w:val="001E5885"/>
    <w:rsid w:val="001E68CD"/>
    <w:rsid w:val="001F0527"/>
    <w:rsid w:val="001F095E"/>
    <w:rsid w:val="001F0E0F"/>
    <w:rsid w:val="001F298E"/>
    <w:rsid w:val="001F3976"/>
    <w:rsid w:val="001F5804"/>
    <w:rsid w:val="001F5AD1"/>
    <w:rsid w:val="001F60ED"/>
    <w:rsid w:val="001F67CD"/>
    <w:rsid w:val="001F7B24"/>
    <w:rsid w:val="00202F7A"/>
    <w:rsid w:val="002032EB"/>
    <w:rsid w:val="0020439B"/>
    <w:rsid w:val="00204ED6"/>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178"/>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56E5C"/>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0FAF"/>
    <w:rsid w:val="002A25F7"/>
    <w:rsid w:val="002A3791"/>
    <w:rsid w:val="002A3C87"/>
    <w:rsid w:val="002A7F7E"/>
    <w:rsid w:val="002B08BC"/>
    <w:rsid w:val="002B1D62"/>
    <w:rsid w:val="002B31F8"/>
    <w:rsid w:val="002B4AC1"/>
    <w:rsid w:val="002C12B7"/>
    <w:rsid w:val="002C2015"/>
    <w:rsid w:val="002C2368"/>
    <w:rsid w:val="002C3857"/>
    <w:rsid w:val="002C6D02"/>
    <w:rsid w:val="002D399C"/>
    <w:rsid w:val="002D480D"/>
    <w:rsid w:val="002D544A"/>
    <w:rsid w:val="002D680B"/>
    <w:rsid w:val="002E3064"/>
    <w:rsid w:val="002E7BB2"/>
    <w:rsid w:val="002E7FAC"/>
    <w:rsid w:val="002F1F9D"/>
    <w:rsid w:val="002F1FB1"/>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16F4"/>
    <w:rsid w:val="00333A97"/>
    <w:rsid w:val="00333D48"/>
    <w:rsid w:val="00334A58"/>
    <w:rsid w:val="00334A60"/>
    <w:rsid w:val="00334C24"/>
    <w:rsid w:val="00336316"/>
    <w:rsid w:val="003366E0"/>
    <w:rsid w:val="0033772A"/>
    <w:rsid w:val="0034086F"/>
    <w:rsid w:val="00341220"/>
    <w:rsid w:val="00342B30"/>
    <w:rsid w:val="00342DDF"/>
    <w:rsid w:val="00345801"/>
    <w:rsid w:val="00346A23"/>
    <w:rsid w:val="00350231"/>
    <w:rsid w:val="00352A6C"/>
    <w:rsid w:val="003551FF"/>
    <w:rsid w:val="003559AB"/>
    <w:rsid w:val="00356956"/>
    <w:rsid w:val="00361FCA"/>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3F16"/>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46B18"/>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3D7"/>
    <w:rsid w:val="00481A0C"/>
    <w:rsid w:val="00482245"/>
    <w:rsid w:val="004843A1"/>
    <w:rsid w:val="0048683F"/>
    <w:rsid w:val="0048689C"/>
    <w:rsid w:val="00487ECC"/>
    <w:rsid w:val="00491B4D"/>
    <w:rsid w:val="00491DEC"/>
    <w:rsid w:val="00492ED8"/>
    <w:rsid w:val="00494908"/>
    <w:rsid w:val="00494A7B"/>
    <w:rsid w:val="004960CB"/>
    <w:rsid w:val="004971B3"/>
    <w:rsid w:val="004A1D7D"/>
    <w:rsid w:val="004A3636"/>
    <w:rsid w:val="004A56EA"/>
    <w:rsid w:val="004B184C"/>
    <w:rsid w:val="004B191F"/>
    <w:rsid w:val="004B35E3"/>
    <w:rsid w:val="004B7768"/>
    <w:rsid w:val="004B7E61"/>
    <w:rsid w:val="004C0947"/>
    <w:rsid w:val="004C1B58"/>
    <w:rsid w:val="004C1F80"/>
    <w:rsid w:val="004C3192"/>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2E"/>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45E2"/>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497F"/>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3E9"/>
    <w:rsid w:val="005E6E0B"/>
    <w:rsid w:val="005F03B2"/>
    <w:rsid w:val="005F180D"/>
    <w:rsid w:val="005F1F0A"/>
    <w:rsid w:val="005F21E1"/>
    <w:rsid w:val="006018B4"/>
    <w:rsid w:val="00604154"/>
    <w:rsid w:val="00607CED"/>
    <w:rsid w:val="00607E3C"/>
    <w:rsid w:val="00610106"/>
    <w:rsid w:val="00612F0D"/>
    <w:rsid w:val="00614392"/>
    <w:rsid w:val="00616322"/>
    <w:rsid w:val="006167CF"/>
    <w:rsid w:val="00621EB3"/>
    <w:rsid w:val="00624A9E"/>
    <w:rsid w:val="006255D1"/>
    <w:rsid w:val="00625F24"/>
    <w:rsid w:val="0062638D"/>
    <w:rsid w:val="00626F46"/>
    <w:rsid w:val="00627906"/>
    <w:rsid w:val="0063017D"/>
    <w:rsid w:val="00630B2D"/>
    <w:rsid w:val="00631A64"/>
    <w:rsid w:val="00631C05"/>
    <w:rsid w:val="00632B01"/>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50A"/>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01BC"/>
    <w:rsid w:val="00731D5B"/>
    <w:rsid w:val="007343D8"/>
    <w:rsid w:val="0073526C"/>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60E"/>
    <w:rsid w:val="00781191"/>
    <w:rsid w:val="007818D7"/>
    <w:rsid w:val="00781B73"/>
    <w:rsid w:val="00782F5A"/>
    <w:rsid w:val="00783BDB"/>
    <w:rsid w:val="007840A8"/>
    <w:rsid w:val="00785CF7"/>
    <w:rsid w:val="007869C7"/>
    <w:rsid w:val="00787801"/>
    <w:rsid w:val="00787830"/>
    <w:rsid w:val="00787C29"/>
    <w:rsid w:val="00792814"/>
    <w:rsid w:val="007947E3"/>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3EC4"/>
    <w:rsid w:val="008342D8"/>
    <w:rsid w:val="00834458"/>
    <w:rsid w:val="00840AB0"/>
    <w:rsid w:val="00842665"/>
    <w:rsid w:val="008437E9"/>
    <w:rsid w:val="008446FB"/>
    <w:rsid w:val="00845ECF"/>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52D"/>
    <w:rsid w:val="008A4763"/>
    <w:rsid w:val="008A499D"/>
    <w:rsid w:val="008A6C35"/>
    <w:rsid w:val="008A6CF7"/>
    <w:rsid w:val="008B06F3"/>
    <w:rsid w:val="008B42A6"/>
    <w:rsid w:val="008B5054"/>
    <w:rsid w:val="008B53EE"/>
    <w:rsid w:val="008B54EF"/>
    <w:rsid w:val="008B77B8"/>
    <w:rsid w:val="008B7EC8"/>
    <w:rsid w:val="008C05AB"/>
    <w:rsid w:val="008C0EBB"/>
    <w:rsid w:val="008C1A8A"/>
    <w:rsid w:val="008C2ADC"/>
    <w:rsid w:val="008C5B9C"/>
    <w:rsid w:val="008D0AB4"/>
    <w:rsid w:val="008D1FE9"/>
    <w:rsid w:val="008D2FCC"/>
    <w:rsid w:val="008D54FC"/>
    <w:rsid w:val="008D55BD"/>
    <w:rsid w:val="008D60B4"/>
    <w:rsid w:val="008D6AC4"/>
    <w:rsid w:val="008D7244"/>
    <w:rsid w:val="008D734E"/>
    <w:rsid w:val="008D7462"/>
    <w:rsid w:val="008E21C9"/>
    <w:rsid w:val="008E2E2E"/>
    <w:rsid w:val="008E35F3"/>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170D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2FA1"/>
    <w:rsid w:val="00953518"/>
    <w:rsid w:val="00954561"/>
    <w:rsid w:val="00954A36"/>
    <w:rsid w:val="009579DE"/>
    <w:rsid w:val="009620B3"/>
    <w:rsid w:val="009649CE"/>
    <w:rsid w:val="00971751"/>
    <w:rsid w:val="00971B49"/>
    <w:rsid w:val="00973744"/>
    <w:rsid w:val="0097442C"/>
    <w:rsid w:val="009745D8"/>
    <w:rsid w:val="00974A33"/>
    <w:rsid w:val="0097579E"/>
    <w:rsid w:val="00976196"/>
    <w:rsid w:val="009766EF"/>
    <w:rsid w:val="0098185A"/>
    <w:rsid w:val="0098232A"/>
    <w:rsid w:val="009834F6"/>
    <w:rsid w:val="00983890"/>
    <w:rsid w:val="009843C4"/>
    <w:rsid w:val="00994603"/>
    <w:rsid w:val="009A16FB"/>
    <w:rsid w:val="009A1AD6"/>
    <w:rsid w:val="009A298E"/>
    <w:rsid w:val="009A2E84"/>
    <w:rsid w:val="009A4FF1"/>
    <w:rsid w:val="009A508C"/>
    <w:rsid w:val="009A5618"/>
    <w:rsid w:val="009A5EE7"/>
    <w:rsid w:val="009A7944"/>
    <w:rsid w:val="009A7CF0"/>
    <w:rsid w:val="009B095E"/>
    <w:rsid w:val="009B1414"/>
    <w:rsid w:val="009B15AC"/>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2B35"/>
    <w:rsid w:val="009D3497"/>
    <w:rsid w:val="009D4117"/>
    <w:rsid w:val="009D49E1"/>
    <w:rsid w:val="009D525D"/>
    <w:rsid w:val="009D6FAB"/>
    <w:rsid w:val="009D76B6"/>
    <w:rsid w:val="009E201F"/>
    <w:rsid w:val="009E27B8"/>
    <w:rsid w:val="009E3859"/>
    <w:rsid w:val="009E39F1"/>
    <w:rsid w:val="009E5541"/>
    <w:rsid w:val="009E58C6"/>
    <w:rsid w:val="009F0661"/>
    <w:rsid w:val="009F2A0F"/>
    <w:rsid w:val="009F567B"/>
    <w:rsid w:val="009F7CC2"/>
    <w:rsid w:val="00A03245"/>
    <w:rsid w:val="00A10248"/>
    <w:rsid w:val="00A10818"/>
    <w:rsid w:val="00A10A8D"/>
    <w:rsid w:val="00A1159F"/>
    <w:rsid w:val="00A11CAA"/>
    <w:rsid w:val="00A12CC8"/>
    <w:rsid w:val="00A13155"/>
    <w:rsid w:val="00A14E8A"/>
    <w:rsid w:val="00A157C8"/>
    <w:rsid w:val="00A231A1"/>
    <w:rsid w:val="00A231B3"/>
    <w:rsid w:val="00A237CF"/>
    <w:rsid w:val="00A259FC"/>
    <w:rsid w:val="00A265BC"/>
    <w:rsid w:val="00A27AF6"/>
    <w:rsid w:val="00A30B2F"/>
    <w:rsid w:val="00A31238"/>
    <w:rsid w:val="00A31D7E"/>
    <w:rsid w:val="00A33938"/>
    <w:rsid w:val="00A339CE"/>
    <w:rsid w:val="00A352C9"/>
    <w:rsid w:val="00A36354"/>
    <w:rsid w:val="00A36400"/>
    <w:rsid w:val="00A36BDE"/>
    <w:rsid w:val="00A40804"/>
    <w:rsid w:val="00A42C5A"/>
    <w:rsid w:val="00A43B63"/>
    <w:rsid w:val="00A43E6A"/>
    <w:rsid w:val="00A503F7"/>
    <w:rsid w:val="00A5081F"/>
    <w:rsid w:val="00A512CB"/>
    <w:rsid w:val="00A5389B"/>
    <w:rsid w:val="00A543D8"/>
    <w:rsid w:val="00A54550"/>
    <w:rsid w:val="00A56397"/>
    <w:rsid w:val="00A60FC0"/>
    <w:rsid w:val="00A619FC"/>
    <w:rsid w:val="00A630B5"/>
    <w:rsid w:val="00A65741"/>
    <w:rsid w:val="00A65745"/>
    <w:rsid w:val="00A70487"/>
    <w:rsid w:val="00A729A4"/>
    <w:rsid w:val="00A741C5"/>
    <w:rsid w:val="00A77275"/>
    <w:rsid w:val="00A77EB8"/>
    <w:rsid w:val="00A803E7"/>
    <w:rsid w:val="00A81240"/>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0D6B"/>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12F"/>
    <w:rsid w:val="00AC751F"/>
    <w:rsid w:val="00AD0FF4"/>
    <w:rsid w:val="00AD3682"/>
    <w:rsid w:val="00AD4234"/>
    <w:rsid w:val="00AE0BED"/>
    <w:rsid w:val="00AE0D34"/>
    <w:rsid w:val="00AE3C2A"/>
    <w:rsid w:val="00AF0AB0"/>
    <w:rsid w:val="00AF1353"/>
    <w:rsid w:val="00AF18DD"/>
    <w:rsid w:val="00AF18E3"/>
    <w:rsid w:val="00AF243D"/>
    <w:rsid w:val="00AF4520"/>
    <w:rsid w:val="00AF5BE6"/>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3574"/>
    <w:rsid w:val="00BC4690"/>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51"/>
    <w:rsid w:val="00C02E94"/>
    <w:rsid w:val="00C10CFA"/>
    <w:rsid w:val="00C15895"/>
    <w:rsid w:val="00C17C63"/>
    <w:rsid w:val="00C203D9"/>
    <w:rsid w:val="00C207D4"/>
    <w:rsid w:val="00C24104"/>
    <w:rsid w:val="00C26F43"/>
    <w:rsid w:val="00C31459"/>
    <w:rsid w:val="00C314FC"/>
    <w:rsid w:val="00C328F4"/>
    <w:rsid w:val="00C32ECE"/>
    <w:rsid w:val="00C360D6"/>
    <w:rsid w:val="00C369BC"/>
    <w:rsid w:val="00C3736E"/>
    <w:rsid w:val="00C373F9"/>
    <w:rsid w:val="00C37929"/>
    <w:rsid w:val="00C37F8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525"/>
    <w:rsid w:val="00CE4E07"/>
    <w:rsid w:val="00CE5885"/>
    <w:rsid w:val="00CE6C30"/>
    <w:rsid w:val="00CE7232"/>
    <w:rsid w:val="00CF013F"/>
    <w:rsid w:val="00CF062B"/>
    <w:rsid w:val="00CF1076"/>
    <w:rsid w:val="00CF2792"/>
    <w:rsid w:val="00CF3FBF"/>
    <w:rsid w:val="00CF5FA7"/>
    <w:rsid w:val="00CF68B8"/>
    <w:rsid w:val="00D02AC3"/>
    <w:rsid w:val="00D03A51"/>
    <w:rsid w:val="00D03C6E"/>
    <w:rsid w:val="00D05102"/>
    <w:rsid w:val="00D055BB"/>
    <w:rsid w:val="00D05748"/>
    <w:rsid w:val="00D05E27"/>
    <w:rsid w:val="00D10558"/>
    <w:rsid w:val="00D1116A"/>
    <w:rsid w:val="00D116F5"/>
    <w:rsid w:val="00D1181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72"/>
    <w:rsid w:val="00D43993"/>
    <w:rsid w:val="00D441F6"/>
    <w:rsid w:val="00D44317"/>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3AFB"/>
    <w:rsid w:val="00D73C69"/>
    <w:rsid w:val="00D73CC1"/>
    <w:rsid w:val="00D743EB"/>
    <w:rsid w:val="00D751EA"/>
    <w:rsid w:val="00D756A6"/>
    <w:rsid w:val="00D763E2"/>
    <w:rsid w:val="00D771EB"/>
    <w:rsid w:val="00D80235"/>
    <w:rsid w:val="00D80A75"/>
    <w:rsid w:val="00D80C5D"/>
    <w:rsid w:val="00D80EBB"/>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1C6"/>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47554"/>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C78"/>
    <w:rsid w:val="00E96E54"/>
    <w:rsid w:val="00EA1744"/>
    <w:rsid w:val="00EA180C"/>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268"/>
    <w:rsid w:val="00F03EEB"/>
    <w:rsid w:val="00F0468B"/>
    <w:rsid w:val="00F04D9D"/>
    <w:rsid w:val="00F05D7F"/>
    <w:rsid w:val="00F10C09"/>
    <w:rsid w:val="00F10E4D"/>
    <w:rsid w:val="00F1357B"/>
    <w:rsid w:val="00F1437A"/>
    <w:rsid w:val="00F14AD0"/>
    <w:rsid w:val="00F16128"/>
    <w:rsid w:val="00F164D0"/>
    <w:rsid w:val="00F16590"/>
    <w:rsid w:val="00F17541"/>
    <w:rsid w:val="00F203B6"/>
    <w:rsid w:val="00F215D6"/>
    <w:rsid w:val="00F2205F"/>
    <w:rsid w:val="00F235F7"/>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65CD"/>
    <w:rsid w:val="00F8728A"/>
    <w:rsid w:val="00F9037C"/>
    <w:rsid w:val="00F91989"/>
    <w:rsid w:val="00F9400F"/>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4B0"/>
    <w:rsid w:val="00FC3B24"/>
    <w:rsid w:val="00FC457A"/>
    <w:rsid w:val="00FC5D0F"/>
    <w:rsid w:val="00FC63D8"/>
    <w:rsid w:val="00FC6FF2"/>
    <w:rsid w:val="00FD0247"/>
    <w:rsid w:val="00FD4AAE"/>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68C7A9B"/>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仿宋_GB2312" w:cs="Times New Roman"/>
      <w:sz w:val="18"/>
      <w:szCs w:val="18"/>
    </w:rPr>
  </w:style>
  <w:style w:type="character" w:customStyle="1" w:styleId="13">
    <w:name w:val="页脚 Char"/>
    <w:basedOn w:val="9"/>
    <w:link w:val="4"/>
    <w:qFormat/>
    <w:uiPriority w:val="99"/>
    <w:rPr>
      <w:rFonts w:ascii="Times New Roman" w:hAnsi="Times New Roman" w:eastAsia="仿宋_GB2312" w:cs="Times New Roman"/>
      <w:sz w:val="18"/>
      <w:szCs w:val="18"/>
    </w:rPr>
  </w:style>
  <w:style w:type="character" w:customStyle="1" w:styleId="14">
    <w:name w:val="批注框文本 Char"/>
    <w:basedOn w:val="9"/>
    <w:link w:val="3"/>
    <w:semiHidden/>
    <w:qFormat/>
    <w:uiPriority w:val="99"/>
    <w:rPr>
      <w:rFonts w:ascii="Times New Roman" w:hAnsi="Times New Roman" w:eastAsia="仿宋_GB2312" w:cs="Times New Roman"/>
      <w:sz w:val="18"/>
      <w:szCs w:val="18"/>
    </w:rPr>
  </w:style>
  <w:style w:type="character" w:customStyle="1" w:styleId="15">
    <w:name w:val="dt-editor__word"/>
    <w:basedOn w:val="9"/>
    <w:qFormat/>
    <w:uiPriority w:val="0"/>
  </w:style>
  <w:style w:type="paragraph" w:customStyle="1" w:styleId="16">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7">
    <w:name w:val="批注文字 Char"/>
    <w:basedOn w:val="9"/>
    <w:link w:val="2"/>
    <w:semiHidden/>
    <w:qFormat/>
    <w:uiPriority w:val="99"/>
    <w:rPr>
      <w:rFonts w:ascii="Times New Roman" w:hAnsi="Times New Roman" w:eastAsia="仿宋_GB2312" w:cs="Times New Roman"/>
      <w:kern w:val="2"/>
      <w:sz w:val="32"/>
      <w:szCs w:val="24"/>
    </w:rPr>
  </w:style>
  <w:style w:type="character" w:customStyle="1" w:styleId="18">
    <w:name w:val="批注主题 Char"/>
    <w:basedOn w:val="17"/>
    <w:link w:val="6"/>
    <w:semiHidden/>
    <w:qFormat/>
    <w:uiPriority w:val="99"/>
    <w:rPr>
      <w:rFonts w:ascii="Times New Roman" w:hAnsi="Times New Roman" w:eastAsia="仿宋_GB2312" w:cs="Times New Roman"/>
      <w:b/>
      <w:bCs/>
      <w:kern w:val="2"/>
      <w:sz w:val="32"/>
      <w:szCs w:val="24"/>
    </w:rPr>
  </w:style>
  <w:style w:type="paragraph" w:styleId="19">
    <w:name w:val="List Paragraph"/>
    <w:basedOn w:val="1"/>
    <w:link w:val="20"/>
    <w:qFormat/>
    <w:uiPriority w:val="34"/>
    <w:pPr>
      <w:spacing w:line="240" w:lineRule="auto"/>
      <w:ind w:firstLine="420" w:firstLineChars="200"/>
    </w:pPr>
    <w:rPr>
      <w:rFonts w:eastAsia="宋体"/>
      <w:sz w:val="21"/>
      <w:szCs w:val="21"/>
    </w:rPr>
  </w:style>
  <w:style w:type="character" w:customStyle="1" w:styleId="20">
    <w:name w:val="列出段落 Char"/>
    <w:link w:val="19"/>
    <w:qFormat/>
    <w:locked/>
    <w:uiPriority w:val="34"/>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3460</Words>
  <Characters>3806</Characters>
  <Lines>27</Lines>
  <Paragraphs>7</Paragraphs>
  <TotalTime>955</TotalTime>
  <ScaleCrop>false</ScaleCrop>
  <LinksUpToDate>false</LinksUpToDate>
  <CharactersWithSpaces>3882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2025-09-05T06:07:00Z</dcterms:created>
  <dc:creator>郭 剑</dc:creator>
  <cp:lastModifiedBy>Rebe</cp:lastModifiedBy>
  <cp:lastPrinted>2025-11-06T03:33:00Z</cp:lastPrinted>
  <dcterms:modified xsi:type="dcterms:W3CDTF">2025-12-07T15:22:38Z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