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9853">
      <w:pPr>
        <w:pStyle w:val="2"/>
        <w:rPr>
          <w:rFonts w:hint="eastAsia" w:ascii="宋体" w:hAnsi="宋体" w:eastAsia="宋体" w:cs="宋体"/>
          <w:sz w:val="20"/>
          <w:szCs w:val="20"/>
          <w:lang w:val="en-US"/>
        </w:rPr>
      </w:pPr>
      <w:r>
        <w:rPr>
          <w:rFonts w:hint="eastAsia" w:ascii="宋体" w:hAnsi="宋体" w:eastAsia="宋体" w:cs="宋体"/>
          <w:sz w:val="20"/>
          <w:szCs w:val="20"/>
          <w:lang w:val="en-US"/>
        </w:rPr>
        <w:t xml:space="preserve">证券代码：603995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证券简称：甬金股份</w:t>
      </w:r>
    </w:p>
    <w:p w14:paraId="30679D3F">
      <w:pPr>
        <w:spacing w:line="360" w:lineRule="auto"/>
        <w:jc w:val="center"/>
        <w:rPr>
          <w:rFonts w:hint="eastAsia" w:ascii="宋体" w:hAnsi="宋体" w:eastAsia="宋体" w:cs="宋体"/>
          <w:b/>
          <w:bCs/>
          <w:sz w:val="44"/>
          <w:szCs w:val="44"/>
        </w:rPr>
      </w:pPr>
    </w:p>
    <w:p w14:paraId="0F1598EE">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甬金科技集团股份有限公司</w:t>
      </w:r>
    </w:p>
    <w:p w14:paraId="299BC3C9">
      <w:pPr>
        <w:spacing w:line="360" w:lineRule="auto"/>
        <w:jc w:val="center"/>
        <w:rPr>
          <w:rFonts w:hint="eastAsia" w:ascii="宋体" w:hAnsi="宋体" w:eastAsia="宋体" w:cs="宋体"/>
          <w:sz w:val="44"/>
          <w:szCs w:val="44"/>
        </w:rPr>
      </w:pPr>
      <w:r>
        <w:rPr>
          <w:rFonts w:hint="eastAsia" w:ascii="宋体" w:hAnsi="宋体" w:eastAsia="宋体" w:cs="宋体"/>
          <w:b/>
          <w:bCs/>
          <w:sz w:val="44"/>
          <w:szCs w:val="44"/>
        </w:rPr>
        <w:t>投资者关系活动记录表</w:t>
      </w:r>
    </w:p>
    <w:p w14:paraId="68C5A907">
      <w:pPr>
        <w:wordWrap w:val="0"/>
        <w:spacing w:before="51" w:after="32"/>
        <w:ind w:right="619"/>
        <w:jc w:val="right"/>
        <w:rPr>
          <w:rFonts w:hint="eastAsia"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- 003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95E11C1">
        <w:trPr>
          <w:trHeight w:val="2801" w:hRule="atLeast"/>
          <w:jc w:val="center"/>
        </w:trPr>
        <w:tc>
          <w:tcPr>
            <w:tcW w:w="2580" w:type="dxa"/>
          </w:tcPr>
          <w:p w14:paraId="5DD3FB6E">
            <w:pPr>
              <w:pStyle w:val="12"/>
              <w:spacing w:before="7"/>
              <w:rPr>
                <w:rFonts w:hint="eastAsia" w:ascii="宋体" w:hAnsi="宋体" w:eastAsia="宋体" w:cs="宋体"/>
                <w:b/>
                <w:bCs/>
                <w:sz w:val="20"/>
                <w:szCs w:val="20"/>
              </w:rPr>
            </w:pPr>
          </w:p>
          <w:p w14:paraId="21E4C83D">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7D2D3BD3">
            <w:pPr>
              <w:pStyle w:val="12"/>
              <w:spacing w:before="7"/>
              <w:rPr>
                <w:rFonts w:hint="eastAsia" w:ascii="宋体" w:hAnsi="宋体" w:eastAsia="宋体" w:cs="宋体"/>
                <w:sz w:val="20"/>
                <w:szCs w:val="20"/>
              </w:rPr>
            </w:pPr>
          </w:p>
          <w:p w14:paraId="3BF7F3AD">
            <w:pPr>
              <w:pStyle w:val="12"/>
              <w:tabs>
                <w:tab w:val="left" w:pos="2418"/>
              </w:tabs>
              <w:spacing w:before="1"/>
              <w:ind w:left="107"/>
              <w:rPr>
                <w:rFonts w:hint="eastAsia"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宋体" w:hAnsi="宋体" w:eastAsia="宋体" w:cs="宋体"/>
                    <w:sz w:val="20"/>
                    <w:szCs w:val="20"/>
                  </w:rPr>
                  <w:sym w:font="Wingdings 2" w:char="F052"/>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2698F3BD">
            <w:pPr>
              <w:pStyle w:val="12"/>
              <w:spacing w:before="11"/>
              <w:rPr>
                <w:rFonts w:hint="eastAsia" w:ascii="宋体" w:hAnsi="宋体" w:eastAsia="宋体" w:cs="宋体"/>
                <w:sz w:val="20"/>
                <w:szCs w:val="20"/>
              </w:rPr>
            </w:pPr>
          </w:p>
          <w:p w14:paraId="3DF7A060">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8219237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56DCB6EB">
            <w:pPr>
              <w:pStyle w:val="12"/>
              <w:spacing w:before="8"/>
              <w:rPr>
                <w:rFonts w:hint="eastAsia" w:ascii="宋体" w:hAnsi="宋体" w:eastAsia="宋体" w:cs="宋体"/>
                <w:sz w:val="20"/>
                <w:szCs w:val="20"/>
              </w:rPr>
            </w:pPr>
          </w:p>
          <w:p w14:paraId="53014AD7">
            <w:pPr>
              <w:pStyle w:val="12"/>
              <w:tabs>
                <w:tab w:val="left" w:pos="2418"/>
              </w:tabs>
              <w:ind w:left="107"/>
              <w:rPr>
                <w:rFonts w:hint="eastAsia" w:ascii="宋体" w:hAnsi="宋体" w:eastAsia="宋体" w:cs="宋体"/>
                <w:sz w:val="20"/>
                <w:szCs w:val="20"/>
              </w:rPr>
            </w:pPr>
            <w:sdt>
              <w:sdtPr>
                <w:rPr>
                  <w:rFonts w:hint="eastAsia" w:ascii="宋体" w:hAnsi="宋体" w:eastAsia="宋体" w:cs="宋体"/>
                  <w:sz w:val="20"/>
                  <w:szCs w:val="20"/>
                </w:rPr>
                <w:id w:val="985017063"/>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宋体" w:hAnsi="宋体" w:eastAsia="宋体" w:cs="宋体"/>
                    <w:sz w:val="20"/>
                    <w:szCs w:val="20"/>
                  </w:rPr>
                  <w:sym w:font="Wingdings 2" w:char="F052"/>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A7D9378">
            <w:pPr>
              <w:pStyle w:val="12"/>
              <w:spacing w:before="8"/>
              <w:rPr>
                <w:rFonts w:hint="eastAsia" w:ascii="宋体" w:hAnsi="宋体" w:eastAsia="宋体" w:cs="宋体"/>
                <w:sz w:val="20"/>
                <w:szCs w:val="20"/>
              </w:rPr>
            </w:pPr>
          </w:p>
          <w:p w14:paraId="427CB9A6">
            <w:pPr>
              <w:pStyle w:val="12"/>
              <w:ind w:left="107"/>
              <w:rPr>
                <w:rFonts w:hint="eastAsia" w:ascii="宋体" w:hAnsi="宋体" w:eastAsia="宋体" w:cs="宋体"/>
                <w:sz w:val="20"/>
                <w:szCs w:val="20"/>
              </w:rPr>
            </w:pPr>
            <w:sdt>
              <w:sdtPr>
                <w:rPr>
                  <w:rFonts w:hint="eastAsia" w:ascii="宋体" w:hAnsi="宋体" w:eastAsia="宋体" w:cs="宋体"/>
                  <w:sz w:val="20"/>
                  <w:szCs w:val="20"/>
                </w:rPr>
                <w:id w:val="230343118"/>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宋体" w:hAnsi="宋体" w:eastAsia="宋体" w:cs="宋体"/>
                    <w:sz w:val="20"/>
                    <w:szCs w:val="20"/>
                  </w:rPr>
                  <w:sym w:font="Wingdings 2" w:char="F052"/>
                </w:r>
              </w:sdtContent>
            </w:sdt>
            <w:r>
              <w:rPr>
                <w:rFonts w:hint="eastAsia" w:ascii="宋体" w:hAnsi="宋体" w:eastAsia="宋体" w:cs="宋体"/>
                <w:sz w:val="20"/>
                <w:szCs w:val="20"/>
              </w:rPr>
              <w:t>现场参观</w:t>
            </w:r>
          </w:p>
          <w:p w14:paraId="512C5453">
            <w:pPr>
              <w:pStyle w:val="12"/>
              <w:spacing w:before="11"/>
              <w:rPr>
                <w:rFonts w:hint="eastAsia" w:ascii="宋体" w:hAnsi="宋体" w:eastAsia="宋体" w:cs="宋体"/>
                <w:sz w:val="20"/>
                <w:szCs w:val="20"/>
              </w:rPr>
            </w:pPr>
          </w:p>
          <w:p w14:paraId="5F382CCF">
            <w:pPr>
              <w:pStyle w:val="12"/>
              <w:ind w:left="107"/>
              <w:rPr>
                <w:rFonts w:hint="eastAsia"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47DA7CD3">
        <w:trPr>
          <w:trHeight w:val="1120" w:hRule="atLeast"/>
          <w:jc w:val="center"/>
        </w:trPr>
        <w:tc>
          <w:tcPr>
            <w:tcW w:w="2580" w:type="dxa"/>
            <w:vAlign w:val="center"/>
          </w:tcPr>
          <w:p w14:paraId="16B4163D">
            <w:pPr>
              <w:pStyle w:val="12"/>
              <w:spacing w:line="560" w:lineRule="exact"/>
              <w:ind w:left="107" w:right="96"/>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6675D8F4">
            <w:pPr>
              <w:pStyle w:val="12"/>
              <w:spacing w:before="100" w:beforeAutospacing="1" w:line="360" w:lineRule="auto"/>
              <w:rPr>
                <w:rFonts w:hint="eastAsia" w:cs="宋体" w:asciiTheme="minorEastAsia" w:hAnsiTheme="minorEastAsia" w:eastAsiaTheme="minorEastAsia"/>
                <w:sz w:val="20"/>
                <w:szCs w:val="20"/>
                <w:lang w:val="en-US"/>
              </w:rPr>
            </w:pPr>
            <w:r>
              <w:rPr>
                <w:rFonts w:hint="eastAsia" w:cs="宋体" w:asciiTheme="minorEastAsia" w:hAnsiTheme="minorEastAsia" w:eastAsiaTheme="minorEastAsia"/>
                <w:sz w:val="20"/>
                <w:szCs w:val="20"/>
                <w:lang w:val="en-US"/>
              </w:rPr>
              <w:t>易方达基金、</w:t>
            </w:r>
            <w:r>
              <w:rPr>
                <w:rFonts w:hint="eastAsia" w:cs="宋体" w:asciiTheme="minorEastAsia" w:hAnsiTheme="minorEastAsia" w:eastAsiaTheme="minorEastAsia"/>
                <w:sz w:val="20"/>
                <w:szCs w:val="20"/>
                <w:lang w:val="en-US" w:eastAsia="zh-CN"/>
              </w:rPr>
              <w:t>大成基金、</w:t>
            </w:r>
            <w:r>
              <w:rPr>
                <w:rFonts w:hint="eastAsia" w:cs="宋体" w:asciiTheme="minorEastAsia" w:hAnsiTheme="minorEastAsia" w:eastAsiaTheme="minorEastAsia"/>
                <w:sz w:val="20"/>
                <w:szCs w:val="20"/>
                <w:lang w:val="en-US"/>
              </w:rPr>
              <w:t>广发基金、国泰海通、浙商证券、申万宏源、国泰基金、中邮证券、西部证券、工银瑞信、华能贵诚信托、山西证券、永赢基金、华安基金、中信证券、盈怀基金、国联民生、明德资本、弘尚资产、汇丰晋信、鹏华基金、创金合信、远东鸿信、鸿富基金、银润资产、交银施罗德、鑫元基金、东亚资管等机构基金经理、投资经理、研究员</w:t>
            </w:r>
          </w:p>
        </w:tc>
      </w:tr>
      <w:tr w14:paraId="62240FE7">
        <w:trPr>
          <w:trHeight w:val="558" w:hRule="atLeast"/>
          <w:jc w:val="center"/>
        </w:trPr>
        <w:tc>
          <w:tcPr>
            <w:tcW w:w="2580" w:type="dxa"/>
            <w:vAlign w:val="center"/>
          </w:tcPr>
          <w:p w14:paraId="1AB4C128">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4BD8F10F">
            <w:pPr>
              <w:spacing w:before="100" w:beforeAutospacing="1" w:line="360" w:lineRule="auto"/>
              <w:rPr>
                <w:rFonts w:hint="eastAsia"/>
                <w:sz w:val="20"/>
                <w:szCs w:val="20"/>
              </w:rPr>
            </w:pPr>
            <w:r>
              <w:rPr>
                <w:rFonts w:hint="eastAsia"/>
                <w:sz w:val="20"/>
                <w:szCs w:val="20"/>
              </w:rPr>
              <w:t>2025年10-11月</w:t>
            </w:r>
          </w:p>
        </w:tc>
      </w:tr>
      <w:tr w14:paraId="62BEAB04">
        <w:trPr>
          <w:trHeight w:val="561" w:hRule="atLeast"/>
          <w:jc w:val="center"/>
        </w:trPr>
        <w:tc>
          <w:tcPr>
            <w:tcW w:w="2580" w:type="dxa"/>
            <w:vAlign w:val="center"/>
          </w:tcPr>
          <w:p w14:paraId="00C70F79">
            <w:pPr>
              <w:pStyle w:val="12"/>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117A7E7A">
            <w:pPr>
              <w:pStyle w:val="12"/>
              <w:spacing w:before="100" w:beforeAutospacing="1" w:line="360" w:lineRule="auto"/>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线上电话交流、公司会议室、各策略会现场</w:t>
            </w:r>
          </w:p>
        </w:tc>
      </w:tr>
      <w:tr w14:paraId="4F76B52B">
        <w:trPr>
          <w:trHeight w:val="558" w:hRule="atLeast"/>
          <w:jc w:val="center"/>
        </w:trPr>
        <w:tc>
          <w:tcPr>
            <w:tcW w:w="2580" w:type="dxa"/>
            <w:vAlign w:val="center"/>
          </w:tcPr>
          <w:p w14:paraId="29355B6D">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229C971">
            <w:pPr>
              <w:pStyle w:val="12"/>
              <w:spacing w:before="100" w:beforeAutospacing="1" w:line="360" w:lineRule="auto"/>
              <w:rPr>
                <w:rFonts w:hint="eastAsia" w:ascii="宋体" w:hAnsi="宋体" w:eastAsia="宋体" w:cs="宋体"/>
                <w:sz w:val="20"/>
                <w:szCs w:val="20"/>
              </w:rPr>
            </w:pPr>
            <w:r>
              <w:rPr>
                <w:rFonts w:ascii="宋体" w:hAnsi="宋体" w:eastAsia="宋体" w:cs="宋体"/>
                <w:sz w:val="20"/>
                <w:szCs w:val="20"/>
              </w:rPr>
              <w:t>董事会秘书 张天汉</w:t>
            </w:r>
            <w:r>
              <w:rPr>
                <w:rFonts w:ascii="宋体" w:hAnsi="宋体" w:eastAsia="宋体" w:cs="宋体"/>
                <w:sz w:val="20"/>
                <w:szCs w:val="20"/>
              </w:rPr>
              <w:br w:type="textWrapping"/>
            </w:r>
            <w:r>
              <w:rPr>
                <w:rFonts w:hint="eastAsia" w:ascii="宋体" w:hAnsi="宋体" w:eastAsia="宋体" w:cs="宋体"/>
                <w:sz w:val="20"/>
                <w:szCs w:val="20"/>
              </w:rPr>
              <w:t>证券事务代表</w:t>
            </w:r>
            <w:r>
              <w:rPr>
                <w:rFonts w:ascii="宋体" w:hAnsi="宋体" w:eastAsia="宋体" w:cs="宋体"/>
                <w:sz w:val="20"/>
                <w:szCs w:val="20"/>
              </w:rPr>
              <w:t xml:space="preserve"> </w:t>
            </w:r>
            <w:r>
              <w:rPr>
                <w:rFonts w:hint="eastAsia" w:ascii="宋体" w:hAnsi="宋体" w:eastAsia="宋体" w:cs="宋体"/>
                <w:sz w:val="20"/>
                <w:szCs w:val="20"/>
              </w:rPr>
              <w:t>程凯</w:t>
            </w:r>
          </w:p>
        </w:tc>
      </w:tr>
      <w:tr w14:paraId="4E2E536D">
        <w:trPr>
          <w:trHeight w:val="2800" w:hRule="atLeast"/>
          <w:jc w:val="center"/>
        </w:trPr>
        <w:tc>
          <w:tcPr>
            <w:tcW w:w="2580" w:type="dxa"/>
          </w:tcPr>
          <w:p w14:paraId="63BFE543">
            <w:pPr>
              <w:pStyle w:val="12"/>
              <w:rPr>
                <w:rFonts w:hint="eastAsia" w:ascii="宋体" w:hAnsi="宋体" w:eastAsia="宋体" w:cs="宋体"/>
                <w:b/>
                <w:bCs/>
                <w:sz w:val="20"/>
                <w:szCs w:val="20"/>
              </w:rPr>
            </w:pPr>
          </w:p>
          <w:p w14:paraId="60D0BA2C">
            <w:pPr>
              <w:pStyle w:val="12"/>
              <w:rPr>
                <w:rFonts w:hint="eastAsia" w:ascii="宋体" w:hAnsi="宋体" w:eastAsia="宋体" w:cs="宋体"/>
                <w:b/>
                <w:bCs/>
                <w:sz w:val="20"/>
                <w:szCs w:val="20"/>
              </w:rPr>
            </w:pPr>
          </w:p>
          <w:p w14:paraId="14DE49E2">
            <w:pPr>
              <w:pStyle w:val="12"/>
              <w:spacing w:before="5"/>
              <w:rPr>
                <w:rFonts w:hint="eastAsia" w:ascii="宋体" w:hAnsi="宋体" w:eastAsia="宋体" w:cs="宋体"/>
                <w:b/>
                <w:bCs/>
                <w:sz w:val="20"/>
                <w:szCs w:val="20"/>
              </w:rPr>
            </w:pPr>
          </w:p>
          <w:p w14:paraId="206EE9FC">
            <w:pPr>
              <w:pStyle w:val="12"/>
              <w:spacing w:before="1" w:line="499" w:lineRule="auto"/>
              <w:ind w:left="107" w:right="96"/>
              <w:rPr>
                <w:rFonts w:hint="eastAsia"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0089531">
            <w:pPr>
              <w:pStyle w:val="12"/>
              <w:spacing w:line="360" w:lineRule="auto"/>
              <w:rPr>
                <w:rFonts w:hint="eastAsia" w:ascii="宋体" w:hAnsi="宋体" w:eastAsia="宋体" w:cs="宋体"/>
                <w:b/>
                <w:sz w:val="20"/>
              </w:rPr>
            </w:pPr>
            <w:r>
              <w:rPr>
                <w:rFonts w:hint="eastAsia" w:ascii="宋体" w:hAnsi="宋体" w:eastAsia="宋体" w:cs="宋体"/>
                <w:b/>
                <w:sz w:val="20"/>
              </w:rPr>
              <w:t>一、介绍公司的发展历史和经营情况。</w:t>
            </w:r>
          </w:p>
          <w:p w14:paraId="502B91AE">
            <w:pPr>
              <w:pStyle w:val="12"/>
              <w:spacing w:line="360" w:lineRule="auto"/>
              <w:rPr>
                <w:rFonts w:hint="eastAsia" w:ascii="宋体" w:hAnsi="宋体" w:eastAsia="宋体" w:cs="宋体"/>
                <w:b/>
                <w:sz w:val="20"/>
              </w:rPr>
            </w:pPr>
            <w:r>
              <w:rPr>
                <w:rFonts w:hint="eastAsia" w:ascii="宋体" w:hAnsi="宋体" w:eastAsia="宋体" w:cs="宋体"/>
                <w:b/>
                <w:sz w:val="20"/>
              </w:rPr>
              <w:t>二、公司领导就投资者关心的问题进行解答，主要内容如下：</w:t>
            </w:r>
          </w:p>
          <w:p w14:paraId="03EB43CB">
            <w:pPr>
              <w:pStyle w:val="12"/>
              <w:spacing w:line="360" w:lineRule="auto"/>
              <w:rPr>
                <w:rFonts w:hint="eastAsia" w:ascii="宋体" w:hAnsi="宋体" w:eastAsia="宋体" w:cs="宋体"/>
                <w:b/>
                <w:sz w:val="20"/>
              </w:rPr>
            </w:pPr>
            <w:r>
              <w:rPr>
                <w:rFonts w:hint="eastAsia" w:ascii="宋体" w:hAnsi="宋体" w:eastAsia="宋体" w:cs="宋体"/>
                <w:b/>
                <w:sz w:val="20"/>
              </w:rPr>
              <w:t>1、公司三季度主要经营情况</w:t>
            </w:r>
          </w:p>
          <w:p w14:paraId="79E21310">
            <w:pPr>
              <w:pStyle w:val="12"/>
              <w:spacing w:line="360" w:lineRule="auto"/>
              <w:rPr>
                <w:rFonts w:hint="eastAsia" w:ascii="宋体" w:hAnsi="宋体" w:eastAsia="宋体" w:cs="宋体"/>
                <w:bCs/>
                <w:sz w:val="20"/>
              </w:rPr>
            </w:pPr>
            <w:r>
              <w:rPr>
                <w:rFonts w:hint="eastAsia" w:ascii="宋体" w:hAnsi="宋体" w:eastAsia="宋体" w:cs="宋体"/>
                <w:bCs/>
                <w:sz w:val="20"/>
              </w:rPr>
              <w:t>答：公司第三季度营业收入114.37亿元，同比增加7.45%，年初至报告期末3</w:t>
            </w:r>
            <w:r>
              <w:rPr>
                <w:rFonts w:hint="eastAsia" w:ascii="宋体" w:hAnsi="宋体" w:eastAsia="宋体" w:cs="宋体"/>
                <w:bCs/>
                <w:sz w:val="20"/>
                <w:lang w:val="en-US" w:eastAsia="zh-CN"/>
              </w:rPr>
              <w:t>1</w:t>
            </w:r>
            <w:r>
              <w:rPr>
                <w:rFonts w:hint="eastAsia" w:ascii="宋体" w:hAnsi="宋体" w:eastAsia="宋体" w:cs="宋体"/>
                <w:bCs/>
                <w:sz w:val="20"/>
              </w:rPr>
              <w:t>5.62亿元，同比增加2.01%；归母净利润1.47亿元，同比下降6.01%，年初至报告期末4.50亿元，同比下降22.95%；第三季度归母扣非后净利润1.41亿元，同比下降7.54%，年初至报告期末4.35亿元，同比下降5.62%。公司</w:t>
            </w:r>
            <w:r>
              <w:rPr>
                <w:rFonts w:hint="eastAsia" w:ascii="宋体" w:hAnsi="宋体" w:eastAsia="宋体" w:cs="宋体"/>
                <w:bCs/>
                <w:sz w:val="20"/>
                <w:lang w:val="en-US" w:eastAsia="zh-CN"/>
              </w:rPr>
              <w:t>前</w:t>
            </w:r>
            <w:r>
              <w:rPr>
                <w:rFonts w:hint="eastAsia" w:ascii="宋体" w:hAnsi="宋体" w:eastAsia="宋体" w:cs="宋体"/>
                <w:bCs/>
                <w:sz w:val="20"/>
              </w:rPr>
              <w:t>三季度</w:t>
            </w:r>
            <w:r>
              <w:rPr>
                <w:rFonts w:hint="eastAsia" w:ascii="宋体" w:hAnsi="宋体" w:eastAsia="宋体" w:cs="宋体"/>
                <w:bCs/>
                <w:sz w:val="20"/>
                <w:lang w:val="en-US" w:eastAsia="zh-CN"/>
              </w:rPr>
              <w:t>因</w:t>
            </w:r>
            <w:r>
              <w:rPr>
                <w:rFonts w:hint="eastAsia" w:ascii="宋体" w:hAnsi="宋体" w:eastAsia="宋体" w:cs="宋体"/>
                <w:bCs/>
                <w:sz w:val="20"/>
              </w:rPr>
              <w:t>不锈钢产品销量增加进而营收收入</w:t>
            </w:r>
            <w:r>
              <w:rPr>
                <w:rFonts w:hint="eastAsia" w:ascii="宋体" w:hAnsi="宋体" w:eastAsia="宋体" w:cs="宋体"/>
                <w:bCs/>
                <w:sz w:val="20"/>
                <w:lang w:val="en-US" w:eastAsia="zh-CN"/>
              </w:rPr>
              <w:t>增加</w:t>
            </w:r>
            <w:r>
              <w:rPr>
                <w:rFonts w:hint="eastAsia" w:ascii="宋体" w:hAnsi="宋体" w:eastAsia="宋体" w:cs="宋体"/>
                <w:bCs/>
                <w:sz w:val="20"/>
              </w:rPr>
              <w:t>，但</w:t>
            </w:r>
            <w:r>
              <w:rPr>
                <w:rFonts w:hint="eastAsia" w:ascii="宋体" w:hAnsi="宋体" w:eastAsia="宋体" w:cs="宋体"/>
                <w:bCs/>
                <w:sz w:val="20"/>
                <w:lang w:val="en-US" w:eastAsia="zh-CN"/>
              </w:rPr>
              <w:t>由于今年</w:t>
            </w:r>
            <w:r>
              <w:rPr>
                <w:rFonts w:hint="eastAsia" w:ascii="宋体" w:hAnsi="宋体" w:eastAsia="宋体" w:cs="宋体"/>
                <w:bCs/>
                <w:sz w:val="20"/>
              </w:rPr>
              <w:t>300系、400系不锈钢产品价格下跌，导致营收</w:t>
            </w:r>
            <w:r>
              <w:rPr>
                <w:rFonts w:hint="eastAsia" w:ascii="宋体" w:hAnsi="宋体" w:eastAsia="宋体" w:cs="宋体"/>
                <w:bCs/>
                <w:sz w:val="20"/>
                <w:lang w:val="en-US" w:eastAsia="zh-CN"/>
              </w:rPr>
              <w:t>增幅小于</w:t>
            </w:r>
            <w:r>
              <w:rPr>
                <w:rFonts w:hint="eastAsia" w:ascii="宋体" w:hAnsi="宋体" w:eastAsia="宋体" w:cs="宋体"/>
                <w:bCs/>
                <w:sz w:val="20"/>
              </w:rPr>
              <w:t>销量</w:t>
            </w:r>
            <w:r>
              <w:rPr>
                <w:rFonts w:hint="eastAsia" w:ascii="宋体" w:hAnsi="宋体" w:eastAsia="宋体" w:cs="宋体"/>
                <w:bCs/>
                <w:sz w:val="20"/>
                <w:lang w:val="en-US" w:eastAsia="zh-CN"/>
              </w:rPr>
              <w:t>增幅；归母净利润下降主要原因：（1）、2024年有1.27亿元的一次性搬迁补偿收入；（2）、越南基地受韩国对越南实施反倾销关税的影响以及越南放开了对中国、印尼不锈钢冷轧产品的反倾销，导致越南基地出口受阻，本地需求竞争格局加剧</w:t>
            </w:r>
            <w:r>
              <w:rPr>
                <w:rFonts w:hint="eastAsia" w:ascii="宋体" w:hAnsi="宋体" w:eastAsia="宋体" w:cs="宋体"/>
                <w:bCs/>
                <w:sz w:val="20"/>
              </w:rPr>
              <w:t>。</w:t>
            </w:r>
          </w:p>
          <w:p w14:paraId="3A02FCA8">
            <w:pPr>
              <w:pStyle w:val="12"/>
              <w:spacing w:line="360" w:lineRule="auto"/>
              <w:rPr>
                <w:rFonts w:hint="eastAsia" w:ascii="宋体" w:hAnsi="宋体" w:eastAsia="宋体" w:cs="宋体"/>
                <w:b/>
                <w:sz w:val="20"/>
              </w:rPr>
            </w:pPr>
            <w:r>
              <w:rPr>
                <w:rFonts w:hint="eastAsia" w:ascii="宋体" w:hAnsi="宋体" w:eastAsia="宋体" w:cs="宋体"/>
                <w:b/>
                <w:sz w:val="20"/>
              </w:rPr>
              <w:t>2、公司第三季度产销量情况</w:t>
            </w:r>
          </w:p>
          <w:p w14:paraId="3220D74F">
            <w:pPr>
              <w:pStyle w:val="12"/>
              <w:spacing w:line="360" w:lineRule="auto"/>
              <w:rPr>
                <w:rFonts w:hint="eastAsia" w:ascii="宋体" w:hAnsi="宋体" w:eastAsia="宋体" w:cs="宋体"/>
                <w:bCs/>
                <w:sz w:val="20"/>
              </w:rPr>
            </w:pPr>
            <w:r>
              <w:rPr>
                <w:rFonts w:hint="eastAsia" w:ascii="宋体" w:hAnsi="宋体" w:eastAsia="宋体" w:cs="宋体"/>
                <w:bCs/>
                <w:sz w:val="20"/>
              </w:rPr>
              <w:t>答：第三季度公司不锈钢产品入库产量96.66万吨（含代加工6.16万吨），环比二季度增加3.77万吨；销售95.86万吨，环比二季度增加5.96万吨。公司1-9月完成入库产量270.77万吨，同比上年增加21.32万吨，销售263.2万吨，同比增加20.24万吨。主要增量为今年释放产能的靖江甬金项目和继续产能爬坡的越南新越科技项目，其中靖江甬金产量 20.73万吨，销量19.62万吨，新越科技产量9.3万吨，销量8.26万吨。</w:t>
            </w:r>
          </w:p>
          <w:p w14:paraId="60AB0DAA">
            <w:pPr>
              <w:pStyle w:val="12"/>
              <w:spacing w:line="360" w:lineRule="auto"/>
              <w:rPr>
                <w:rFonts w:hint="eastAsia" w:ascii="宋体" w:hAnsi="宋体" w:eastAsia="宋体" w:cs="宋体"/>
                <w:b/>
                <w:sz w:val="20"/>
              </w:rPr>
            </w:pPr>
            <w:r>
              <w:rPr>
                <w:rFonts w:hint="eastAsia" w:ascii="宋体" w:hAnsi="宋体" w:eastAsia="宋体" w:cs="宋体"/>
                <w:b/>
                <w:sz w:val="20"/>
              </w:rPr>
              <w:t>3、公司新材料业务经营情况</w:t>
            </w:r>
          </w:p>
          <w:p w14:paraId="71B74270">
            <w:pPr>
              <w:pStyle w:val="12"/>
              <w:spacing w:line="360" w:lineRule="auto"/>
              <w:rPr>
                <w:rFonts w:hint="default" w:ascii="宋体" w:hAnsi="宋体" w:eastAsia="宋体" w:cs="宋体"/>
                <w:bCs/>
                <w:sz w:val="20"/>
                <w:lang w:val="en-US" w:eastAsia="zh-CN"/>
              </w:rPr>
            </w:pPr>
            <w:r>
              <w:rPr>
                <w:rFonts w:hint="eastAsia" w:ascii="宋体" w:hAnsi="宋体" w:eastAsia="宋体" w:cs="宋体"/>
                <w:bCs/>
                <w:sz w:val="20"/>
              </w:rPr>
              <w:t>答：新材料事业部</w:t>
            </w:r>
            <w:r>
              <w:rPr>
                <w:rFonts w:hint="eastAsia" w:ascii="宋体" w:hAnsi="宋体" w:eastAsia="宋体" w:cs="宋体"/>
                <w:bCs/>
                <w:sz w:val="20"/>
                <w:lang w:eastAsia="zh-CN"/>
              </w:rPr>
              <w:t>：</w:t>
            </w:r>
            <w:r>
              <w:rPr>
                <w:rFonts w:hint="eastAsia" w:ascii="宋体" w:hAnsi="宋体" w:eastAsia="宋体" w:cs="宋体"/>
                <w:bCs/>
                <w:sz w:val="20"/>
              </w:rPr>
              <w:t>江苏镨赛经营的金属层状复合材料业务同比上年有所好转，一期产能基本开满，基本达到盈亏平衡状态；由中源钛业负责实施的钛材项目产能基本满产，但因产地电费</w:t>
            </w:r>
            <w:r>
              <w:rPr>
                <w:rFonts w:hint="eastAsia" w:ascii="宋体" w:hAnsi="宋体" w:eastAsia="宋体" w:cs="宋体"/>
                <w:bCs/>
                <w:sz w:val="20"/>
                <w:lang w:val="en-US" w:eastAsia="zh-CN"/>
              </w:rPr>
              <w:t>以及前期投资</w:t>
            </w:r>
            <w:r>
              <w:rPr>
                <w:rFonts w:hint="eastAsia" w:ascii="宋体" w:hAnsi="宋体" w:eastAsia="宋体" w:cs="宋体"/>
                <w:bCs/>
                <w:sz w:val="20"/>
              </w:rPr>
              <w:t>成本较高，目前较难盈利，现通过钛材冷轧加工协同后开拓终端用户，延长产业链改善盈利情况；柱状电池专用外壳材料项目一期7.5万吨已投产，并已与国内</w:t>
            </w:r>
            <w:r>
              <w:rPr>
                <w:rFonts w:hint="eastAsia" w:ascii="宋体" w:hAnsi="宋体" w:eastAsia="宋体" w:cs="宋体"/>
                <w:bCs/>
                <w:sz w:val="20"/>
                <w:lang w:val="en-US" w:eastAsia="zh-CN"/>
              </w:rPr>
              <w:t>多数</w:t>
            </w:r>
            <w:r>
              <w:rPr>
                <w:rFonts w:hint="eastAsia" w:ascii="宋体" w:hAnsi="宋体" w:eastAsia="宋体" w:cs="宋体"/>
                <w:bCs/>
                <w:sz w:val="20"/>
              </w:rPr>
              <w:t>电池厂商对接送样，由于相关产品</w:t>
            </w:r>
            <w:r>
              <w:rPr>
                <w:rFonts w:hint="eastAsia" w:ascii="宋体" w:hAnsi="宋体" w:eastAsia="宋体" w:cs="宋体"/>
                <w:bCs/>
                <w:sz w:val="20"/>
                <w:lang w:val="en-US" w:eastAsia="zh-CN"/>
              </w:rPr>
              <w:t>认证</w:t>
            </w:r>
            <w:r>
              <w:rPr>
                <w:rFonts w:hint="eastAsia" w:ascii="宋体" w:hAnsi="宋体" w:eastAsia="宋体" w:cs="宋体"/>
                <w:bCs/>
                <w:sz w:val="20"/>
              </w:rPr>
              <w:t>周期较长，目前尚</w:t>
            </w:r>
            <w:r>
              <w:rPr>
                <w:rFonts w:hint="eastAsia" w:ascii="宋体" w:hAnsi="宋体" w:eastAsia="宋体" w:cs="宋体"/>
                <w:bCs/>
                <w:sz w:val="20"/>
                <w:lang w:val="en-US" w:eastAsia="zh-CN"/>
              </w:rPr>
              <w:t>处于小批量生产当中，整体产能利用率较低</w:t>
            </w:r>
            <w:r>
              <w:rPr>
                <w:rFonts w:hint="eastAsia" w:ascii="宋体" w:hAnsi="宋体" w:eastAsia="宋体" w:cs="宋体"/>
                <w:bCs/>
                <w:sz w:val="20"/>
              </w:rPr>
              <w:t>。</w:t>
            </w:r>
            <w:r>
              <w:rPr>
                <w:rFonts w:hint="eastAsia" w:ascii="宋体" w:hAnsi="宋体" w:eastAsia="宋体" w:cs="宋体"/>
                <w:bCs/>
                <w:sz w:val="20"/>
                <w:lang w:val="en-US" w:eastAsia="zh-CN"/>
              </w:rPr>
              <w:t>对于新材料业务板块，短期来看，公司需要经历 “技术研发攻坚 + 产能建设投入 + 市场验证拓展” 的阶段性周期。长期来看，新材料板块不仅将成为公司营收增长的核心引擎，更将通过技术积累与市场卡位，助力公司从 “精密冷轧不锈钢制造商” 向 “高端金属材料综合服务商” 转型，形成与传统主业的协同互补，最终构建 “传统业务保规模、新材料业务提毛利” 的双轮驱动格局，为公司价值提升注入核心动力。</w:t>
            </w:r>
          </w:p>
          <w:p w14:paraId="0ED16702">
            <w:pPr>
              <w:pStyle w:val="12"/>
              <w:spacing w:line="360" w:lineRule="auto"/>
              <w:rPr>
                <w:rFonts w:hint="eastAsia" w:ascii="宋体" w:hAnsi="宋体" w:eastAsia="宋体" w:cs="宋体"/>
                <w:b/>
                <w:sz w:val="20"/>
              </w:rPr>
            </w:pPr>
            <w:r>
              <w:rPr>
                <w:rFonts w:hint="eastAsia" w:ascii="宋体" w:hAnsi="宋体" w:eastAsia="宋体" w:cs="宋体"/>
                <w:b/>
                <w:sz w:val="20"/>
              </w:rPr>
              <w:t>4、公司在建或拟建项目情况</w:t>
            </w:r>
          </w:p>
          <w:p w14:paraId="3D38100C">
            <w:pPr>
              <w:pStyle w:val="12"/>
              <w:spacing w:line="360" w:lineRule="auto"/>
              <w:rPr>
                <w:rFonts w:ascii="宋体" w:hAnsi="宋体" w:eastAsia="宋体" w:cs="宋体"/>
                <w:b/>
                <w:sz w:val="20"/>
              </w:rPr>
            </w:pPr>
            <w:r>
              <w:rPr>
                <w:rFonts w:hint="eastAsia" w:ascii="宋体" w:hAnsi="宋体" w:eastAsia="宋体" w:cs="宋体"/>
                <w:bCs/>
                <w:sz w:val="20"/>
              </w:rPr>
              <w:t>答：公司目前在建</w:t>
            </w:r>
            <w:r>
              <w:rPr>
                <w:rFonts w:hint="eastAsia" w:ascii="宋体" w:hAnsi="宋体" w:eastAsia="宋体" w:cs="宋体"/>
                <w:bCs/>
                <w:sz w:val="20"/>
                <w:lang w:val="en-US" w:eastAsia="zh-CN"/>
              </w:rPr>
              <w:t>项目有</w:t>
            </w:r>
            <w:r>
              <w:rPr>
                <w:rFonts w:hint="eastAsia" w:ascii="宋体" w:hAnsi="宋体" w:eastAsia="宋体" w:cs="宋体"/>
                <w:bCs/>
                <w:sz w:val="20"/>
              </w:rPr>
              <w:t>四川攀金新材负责实施的4万吨钛材项目一期，</w:t>
            </w:r>
            <w:r>
              <w:rPr>
                <w:rFonts w:hint="eastAsia" w:ascii="宋体" w:hAnsi="宋体" w:eastAsia="宋体" w:cs="宋体"/>
                <w:bCs/>
                <w:sz w:val="20"/>
                <w:lang w:val="en-US" w:eastAsia="zh-CN"/>
              </w:rPr>
              <w:t>目前已进入试生产阶段；</w:t>
            </w:r>
            <w:r>
              <w:rPr>
                <w:rFonts w:hint="eastAsia" w:ascii="宋体" w:hAnsi="宋体" w:eastAsia="宋体" w:cs="宋体"/>
                <w:bCs/>
                <w:sz w:val="20"/>
              </w:rPr>
              <w:t>泰国甬金</w:t>
            </w:r>
            <w:r>
              <w:rPr>
                <w:rFonts w:hint="eastAsia" w:ascii="宋体" w:hAnsi="宋体" w:eastAsia="宋体" w:cs="宋体"/>
                <w:bCs/>
                <w:sz w:val="20"/>
                <w:lang w:val="en-US" w:eastAsia="zh-CN"/>
              </w:rPr>
              <w:t>负责</w:t>
            </w:r>
            <w:r>
              <w:rPr>
                <w:rFonts w:hint="eastAsia" w:ascii="宋体" w:hAnsi="宋体" w:eastAsia="宋体" w:cs="宋体"/>
                <w:bCs/>
                <w:sz w:val="20"/>
              </w:rPr>
              <w:t>实施的“年产能26万吨精密不锈钢板带项目（一期）”</w:t>
            </w:r>
            <w:r>
              <w:rPr>
                <w:rFonts w:hint="eastAsia" w:ascii="宋体" w:hAnsi="宋体" w:eastAsia="宋体" w:cs="宋体"/>
                <w:bCs/>
                <w:sz w:val="20"/>
                <w:lang w:eastAsia="zh-CN"/>
              </w:rPr>
              <w:t>，</w:t>
            </w:r>
            <w:r>
              <w:rPr>
                <w:rFonts w:hint="eastAsia" w:ascii="宋体" w:hAnsi="宋体" w:eastAsia="宋体" w:cs="宋体"/>
                <w:bCs/>
                <w:sz w:val="20"/>
                <w:lang w:val="en-US" w:eastAsia="zh-CN"/>
              </w:rPr>
              <w:t>是公司海外投资的首条精密冷轧不锈钢产线，针对越南2B\BA宽幅冷轧不锈钢产品结构，进行差异化布局，产线预计2026年7月投产</w:t>
            </w:r>
            <w:r>
              <w:rPr>
                <w:rFonts w:hint="eastAsia" w:ascii="宋体" w:hAnsi="宋体" w:eastAsia="宋体" w:cs="宋体"/>
                <w:bCs/>
                <w:sz w:val="20"/>
              </w:rPr>
              <w:t>。拟建</w:t>
            </w:r>
            <w:r>
              <w:rPr>
                <w:rFonts w:hint="eastAsia" w:ascii="宋体" w:hAnsi="宋体" w:eastAsia="宋体" w:cs="宋体"/>
                <w:bCs/>
                <w:sz w:val="20"/>
                <w:lang w:val="en-US" w:eastAsia="zh-CN"/>
              </w:rPr>
              <w:t>的土耳其</w:t>
            </w:r>
            <w:r>
              <w:rPr>
                <w:rFonts w:hint="eastAsia" w:ascii="宋体" w:hAnsi="宋体" w:eastAsia="宋体" w:cs="宋体"/>
                <w:bCs/>
                <w:sz w:val="20"/>
                <w:lang w:eastAsia="zh-CN"/>
              </w:rPr>
              <w:t>“年加工 40 万吨冷轧不锈钢板带项目”</w:t>
            </w:r>
            <w:r>
              <w:rPr>
                <w:rFonts w:hint="eastAsia" w:ascii="宋体" w:hAnsi="宋体" w:eastAsia="宋体" w:cs="宋体"/>
                <w:bCs/>
                <w:sz w:val="20"/>
              </w:rPr>
              <w:t>尚处</w:t>
            </w:r>
            <w:r>
              <w:rPr>
                <w:rFonts w:hint="eastAsia" w:ascii="宋体" w:hAnsi="宋体" w:eastAsia="宋体" w:cs="宋体"/>
                <w:bCs/>
                <w:sz w:val="20"/>
                <w:lang w:val="en-US" w:eastAsia="zh-CN"/>
              </w:rPr>
              <w:t>于</w:t>
            </w:r>
            <w:r>
              <w:rPr>
                <w:rFonts w:hint="eastAsia" w:ascii="宋体" w:hAnsi="宋体" w:eastAsia="宋体" w:cs="宋体"/>
                <w:bCs/>
                <w:sz w:val="20"/>
              </w:rPr>
              <w:t>ODI审批阶段。</w:t>
            </w:r>
            <w:r>
              <w:rPr>
                <w:rFonts w:ascii="宋体" w:hAnsi="宋体" w:eastAsia="宋体" w:cs="宋体"/>
                <w:sz w:val="20"/>
              </w:rPr>
              <w:br w:type="textWrapping"/>
            </w:r>
            <w:r>
              <w:rPr>
                <w:rFonts w:hint="eastAsia" w:ascii="宋体" w:hAnsi="宋体" w:eastAsia="宋体" w:cs="宋体"/>
                <w:b/>
                <w:sz w:val="20"/>
              </w:rPr>
              <w:t>5、公司未来分红计划</w:t>
            </w:r>
          </w:p>
          <w:p w14:paraId="178992AA">
            <w:pPr>
              <w:pStyle w:val="12"/>
              <w:spacing w:line="360" w:lineRule="auto"/>
              <w:rPr>
                <w:rFonts w:hint="eastAsia" w:ascii="宋体" w:hAnsi="宋体" w:eastAsia="宋体" w:cs="宋体"/>
                <w:b/>
                <w:sz w:val="20"/>
              </w:rPr>
            </w:pPr>
            <w:r>
              <w:rPr>
                <w:rFonts w:ascii="宋体" w:hAnsi="宋体" w:eastAsia="宋体" w:cs="宋体"/>
                <w:sz w:val="20"/>
              </w:rPr>
              <w:t>答:公司业绩增长的同时，坚持以高分红回馈股东，2025年4月10日公司披露了《未来三年（2025-2027年）股东分红回报规划》，在前期计划的基础上提升了每年以现金方式分配的利润比例。同时实施了2024年度现金分红，并在2025年半年度也实施了中期分红。后续在满足分红条件的情况下，公司</w:t>
            </w:r>
            <w:r>
              <w:rPr>
                <w:rFonts w:hint="eastAsia" w:ascii="宋体" w:hAnsi="宋体" w:eastAsia="宋体" w:cs="宋体"/>
                <w:sz w:val="20"/>
              </w:rPr>
              <w:t>未来</w:t>
            </w:r>
            <w:r>
              <w:rPr>
                <w:rFonts w:ascii="宋体" w:hAnsi="宋体" w:eastAsia="宋体" w:cs="宋体"/>
                <w:sz w:val="20"/>
              </w:rPr>
              <w:t>会继续坚持现金分红回报公司股东。</w:t>
            </w:r>
          </w:p>
          <w:p w14:paraId="0F5CFC93">
            <w:pPr>
              <w:pStyle w:val="12"/>
              <w:spacing w:line="360" w:lineRule="auto"/>
              <w:rPr>
                <w:rFonts w:ascii="宋体" w:hAnsi="宋体" w:eastAsia="宋体" w:cs="宋体"/>
                <w:b/>
                <w:sz w:val="20"/>
              </w:rPr>
            </w:pPr>
            <w:r>
              <w:rPr>
                <w:rFonts w:hint="eastAsia" w:ascii="宋体" w:hAnsi="宋体" w:eastAsia="宋体" w:cs="宋体"/>
                <w:b/>
                <w:sz w:val="20"/>
              </w:rPr>
              <w:t>6、公司未来对转债的转股安排</w:t>
            </w:r>
          </w:p>
          <w:p w14:paraId="0DD78471">
            <w:pPr>
              <w:pStyle w:val="12"/>
              <w:spacing w:line="360" w:lineRule="auto"/>
              <w:rPr>
                <w:rFonts w:ascii="宋体" w:hAnsi="宋体" w:eastAsia="宋体" w:cs="宋体"/>
                <w:b/>
                <w:sz w:val="20"/>
              </w:rPr>
            </w:pPr>
            <w:r>
              <w:rPr>
                <w:rFonts w:ascii="宋体" w:hAnsi="宋体" w:eastAsia="宋体" w:cs="宋体"/>
                <w:sz w:val="20"/>
              </w:rPr>
              <w:t>答:</w:t>
            </w:r>
            <w:r>
              <w:rPr>
                <w:rFonts w:hint="eastAsia" w:ascii="宋体" w:hAnsi="宋体" w:eastAsia="宋体" w:cs="宋体"/>
                <w:sz w:val="20"/>
              </w:rPr>
              <w:t>截至2025年9月30日，累计已有491,000元“甬金转债”转换为公司A股股票，累计转股股数为13,806股，占可转债转股前公司已发行股份总额的0.0040%。</w:t>
            </w:r>
            <w:r>
              <w:rPr>
                <w:rFonts w:ascii="宋体" w:hAnsi="宋体" w:eastAsia="宋体" w:cs="宋体"/>
                <w:sz w:val="20"/>
              </w:rPr>
              <w:t>公司</w:t>
            </w:r>
            <w:r>
              <w:rPr>
                <w:rFonts w:hint="eastAsia" w:ascii="宋体" w:hAnsi="宋体" w:eastAsia="宋体" w:cs="宋体"/>
                <w:sz w:val="20"/>
              </w:rPr>
              <w:t>可转债转股情况会受到公司基本面、宏观经济环境、股票市场总体状况、持有人意愿等多种因素的影响，具有不确定性。未来公司会根据转债与正股的实际情况，处理转债相关事宜。</w:t>
            </w:r>
            <w:r>
              <w:rPr>
                <w:rFonts w:ascii="宋体" w:hAnsi="宋体" w:eastAsia="宋体" w:cs="宋体"/>
                <w:sz w:val="20"/>
              </w:rPr>
              <w:br w:type="textWrapping"/>
            </w:r>
            <w:r>
              <w:rPr>
                <w:rFonts w:hint="eastAsia" w:ascii="宋体" w:hAnsi="宋体" w:eastAsia="宋体" w:cs="宋体"/>
                <w:b/>
                <w:sz w:val="20"/>
              </w:rPr>
              <w:t>7、公司</w:t>
            </w:r>
            <w:r>
              <w:rPr>
                <w:rFonts w:ascii="宋体" w:hAnsi="宋体" w:eastAsia="宋体" w:cs="宋体"/>
                <w:b/>
                <w:sz w:val="20"/>
              </w:rPr>
              <w:t>未来研发投入将重点聚焦</w:t>
            </w:r>
            <w:r>
              <w:rPr>
                <w:rFonts w:hint="eastAsia" w:ascii="宋体" w:hAnsi="宋体" w:eastAsia="宋体" w:cs="宋体"/>
                <w:b/>
                <w:sz w:val="20"/>
              </w:rPr>
              <w:t>的</w:t>
            </w:r>
            <w:r>
              <w:rPr>
                <w:rFonts w:ascii="宋体" w:hAnsi="宋体" w:eastAsia="宋体" w:cs="宋体"/>
                <w:b/>
                <w:sz w:val="20"/>
              </w:rPr>
              <w:t>技术方向</w:t>
            </w:r>
          </w:p>
          <w:p w14:paraId="3FD642AD">
            <w:pPr>
              <w:pStyle w:val="12"/>
              <w:spacing w:line="360" w:lineRule="auto"/>
              <w:rPr>
                <w:rFonts w:ascii="宋体" w:hAnsi="宋体" w:eastAsia="宋体" w:cs="宋体"/>
                <w:sz w:val="20"/>
              </w:rPr>
            </w:pPr>
            <w:r>
              <w:rPr>
                <w:rFonts w:ascii="宋体" w:hAnsi="宋体" w:eastAsia="宋体" w:cs="宋体"/>
                <w:sz w:val="20"/>
              </w:rPr>
              <w:t>答:公司一直致力于持续研发和产品创新，未来公司将持续加大高品质、高附加值</w:t>
            </w:r>
            <w:r>
              <w:rPr>
                <w:rFonts w:hint="eastAsia" w:ascii="宋体" w:hAnsi="宋体" w:eastAsia="宋体" w:cs="宋体"/>
                <w:sz w:val="20"/>
                <w:lang w:val="en-US" w:eastAsia="zh-CN"/>
              </w:rPr>
              <w:t>精密</w:t>
            </w:r>
            <w:r>
              <w:rPr>
                <w:rFonts w:ascii="宋体" w:hAnsi="宋体" w:eastAsia="宋体" w:cs="宋体"/>
                <w:sz w:val="20"/>
              </w:rPr>
              <w:t>不锈钢冷轧产品及新材料产品（预镀镍钢带、钛材、复合材料等）的研发投入，以保持公司的竞争力。</w:t>
            </w:r>
            <w:r>
              <w:rPr>
                <w:rFonts w:hint="eastAsia" w:ascii="宋体" w:hAnsi="宋体" w:eastAsia="宋体" w:cs="宋体"/>
                <w:sz w:val="20"/>
                <w:lang w:val="en-US" w:eastAsia="zh-CN"/>
              </w:rPr>
              <w:t>同时</w:t>
            </w:r>
            <w:r>
              <w:rPr>
                <w:rFonts w:hint="eastAsia" w:ascii="宋体" w:hAnsi="宋体" w:eastAsia="宋体" w:cs="宋体"/>
                <w:sz w:val="20"/>
              </w:rPr>
              <w:t>公司将绿色环保、节能减排作为高质量发展的核心战略</w:t>
            </w:r>
            <w:r>
              <w:rPr>
                <w:rFonts w:hint="eastAsia" w:ascii="宋体" w:hAnsi="宋体" w:eastAsia="宋体" w:cs="宋体"/>
                <w:sz w:val="20"/>
                <w:lang w:eastAsia="zh-CN"/>
              </w:rPr>
              <w:t>，</w:t>
            </w:r>
            <w:r>
              <w:rPr>
                <w:rFonts w:hint="eastAsia" w:ascii="宋体" w:hAnsi="宋体" w:eastAsia="宋体" w:cs="宋体"/>
                <w:sz w:val="20"/>
                <w:lang w:val="en-US" w:eastAsia="zh-CN"/>
              </w:rPr>
              <w:t>未来也将</w:t>
            </w:r>
            <w:r>
              <w:rPr>
                <w:rFonts w:hint="eastAsia" w:ascii="宋体" w:hAnsi="宋体" w:eastAsia="宋体" w:cs="宋体"/>
                <w:sz w:val="20"/>
              </w:rPr>
              <w:t>持续加大绿色技术研发投入，深化产学研合作，推动更多低碳技术落地转化，稳步实现碳排放强度持续下降的目标。</w:t>
            </w:r>
            <w:bookmarkStart w:id="0" w:name="_GoBack"/>
            <w:bookmarkEnd w:id="0"/>
          </w:p>
          <w:p w14:paraId="25693F15">
            <w:pPr>
              <w:pStyle w:val="12"/>
              <w:spacing w:line="360" w:lineRule="auto"/>
              <w:rPr>
                <w:rFonts w:ascii="宋体" w:hAnsi="宋体" w:eastAsia="宋体" w:cs="宋体"/>
                <w:b/>
                <w:sz w:val="20"/>
              </w:rPr>
            </w:pPr>
            <w:r>
              <w:rPr>
                <w:rFonts w:hint="eastAsia" w:ascii="宋体" w:hAnsi="宋体" w:eastAsia="宋体" w:cs="宋体"/>
                <w:b/>
                <w:sz w:val="20"/>
              </w:rPr>
              <w:t>8、</w:t>
            </w:r>
            <w:r>
              <w:rPr>
                <w:rFonts w:ascii="宋体" w:hAnsi="宋体" w:eastAsia="宋体" w:cs="宋体"/>
                <w:b/>
                <w:sz w:val="20"/>
              </w:rPr>
              <w:t>公司目前总体的产能利用率情况</w:t>
            </w:r>
          </w:p>
          <w:p w14:paraId="2AD7ACE2">
            <w:pPr>
              <w:pStyle w:val="12"/>
              <w:spacing w:line="360" w:lineRule="auto"/>
              <w:rPr>
                <w:rFonts w:ascii="宋体" w:hAnsi="宋体" w:eastAsia="宋体" w:cs="宋体"/>
                <w:b/>
                <w:sz w:val="20"/>
              </w:rPr>
            </w:pPr>
            <w:r>
              <w:rPr>
                <w:rFonts w:hint="eastAsia" w:ascii="宋体" w:hAnsi="宋体" w:eastAsia="宋体" w:cs="宋体"/>
                <w:bCs/>
                <w:sz w:val="20"/>
              </w:rPr>
              <w:t>答：</w:t>
            </w:r>
            <w:r>
              <w:rPr>
                <w:rFonts w:ascii="宋体" w:hAnsi="宋体" w:eastAsia="宋体" w:cs="宋体"/>
                <w:sz w:val="20"/>
              </w:rPr>
              <w:t>随着公司近年来新项目的投入，公司整体产能稳步提升。因部分项目属于新建项目，公司整体产能利用率超95%，处于行业领先地位。</w:t>
            </w:r>
            <w:r>
              <w:rPr>
                <w:rFonts w:ascii="宋体" w:hAnsi="宋体" w:eastAsia="宋体" w:cs="宋体"/>
                <w:b/>
                <w:sz w:val="20"/>
              </w:rPr>
              <w:t xml:space="preserve">  </w:t>
            </w:r>
          </w:p>
          <w:p w14:paraId="49FB8E9D">
            <w:pPr>
              <w:pStyle w:val="12"/>
              <w:spacing w:line="360" w:lineRule="auto"/>
              <w:rPr>
                <w:rFonts w:ascii="宋体" w:hAnsi="宋体" w:eastAsia="宋体" w:cs="宋体"/>
                <w:b/>
                <w:sz w:val="20"/>
              </w:rPr>
            </w:pPr>
            <w:r>
              <w:rPr>
                <w:rFonts w:hint="eastAsia" w:ascii="宋体" w:hAnsi="宋体" w:eastAsia="宋体" w:cs="宋体"/>
                <w:b/>
                <w:sz w:val="20"/>
              </w:rPr>
              <w:t>9、公司越南二期项目爬坡进展情况</w:t>
            </w:r>
          </w:p>
          <w:p w14:paraId="03442AC6">
            <w:pPr>
              <w:pStyle w:val="12"/>
              <w:spacing w:line="360" w:lineRule="auto"/>
              <w:rPr>
                <w:rFonts w:ascii="宋体" w:hAnsi="宋体" w:eastAsia="宋体" w:cs="宋体"/>
                <w:b/>
                <w:sz w:val="20"/>
              </w:rPr>
            </w:pPr>
            <w:r>
              <w:rPr>
                <w:rFonts w:hint="eastAsia" w:ascii="宋体" w:hAnsi="宋体" w:eastAsia="宋体" w:cs="宋体"/>
                <w:bCs/>
                <w:sz w:val="20"/>
              </w:rPr>
              <w:t>答：公司</w:t>
            </w:r>
            <w:r>
              <w:rPr>
                <w:rFonts w:ascii="宋体" w:hAnsi="宋体" w:eastAsia="宋体" w:cs="宋体"/>
                <w:sz w:val="20"/>
              </w:rPr>
              <w:t>越南新越项目二期因受越南对中国、印尼不锈钢冷轧产品反倾销政策放开的影响，产能尚处于爬坡阶段，</w:t>
            </w:r>
            <w:r>
              <w:rPr>
                <w:rFonts w:hint="eastAsia" w:ascii="宋体" w:hAnsi="宋体" w:eastAsia="宋体" w:cs="宋体"/>
                <w:sz w:val="20"/>
                <w:lang w:val="en-US" w:eastAsia="zh-CN"/>
              </w:rPr>
              <w:t>因从撤销反倾销到重新发起反倾销诉讼申请需要至少一年的资料周期，</w:t>
            </w:r>
            <w:r>
              <w:rPr>
                <w:rFonts w:ascii="宋体" w:hAnsi="宋体" w:eastAsia="宋体" w:cs="宋体"/>
                <w:sz w:val="20"/>
              </w:rPr>
              <w:t>现公司已经在积极收集资料，将</w:t>
            </w:r>
            <w:r>
              <w:rPr>
                <w:rFonts w:hint="eastAsia" w:ascii="宋体" w:hAnsi="宋体" w:eastAsia="宋体" w:cs="宋体"/>
                <w:sz w:val="20"/>
                <w:lang w:val="en-US" w:eastAsia="zh-CN"/>
              </w:rPr>
              <w:t>重新发起</w:t>
            </w:r>
            <w:r>
              <w:rPr>
                <w:rFonts w:ascii="宋体" w:hAnsi="宋体" w:eastAsia="宋体" w:cs="宋体"/>
                <w:sz w:val="20"/>
              </w:rPr>
              <w:t>对中国、印尼不锈钢冷轧产品反倾销诉讼申请。</w:t>
            </w:r>
          </w:p>
          <w:p w14:paraId="010147A6">
            <w:pPr>
              <w:pStyle w:val="12"/>
              <w:spacing w:line="360" w:lineRule="auto"/>
              <w:rPr>
                <w:rFonts w:hint="default" w:ascii="宋体" w:hAnsi="宋体" w:eastAsia="宋体" w:cs="宋体"/>
                <w:b/>
                <w:sz w:val="20"/>
                <w:lang w:val="en-US" w:eastAsia="zh-CN"/>
              </w:rPr>
            </w:pPr>
            <w:r>
              <w:rPr>
                <w:rFonts w:ascii="宋体" w:hAnsi="宋体" w:eastAsia="宋体" w:cs="宋体"/>
                <w:b/>
                <w:sz w:val="20"/>
              </w:rPr>
              <w:t>1</w:t>
            </w:r>
            <w:r>
              <w:rPr>
                <w:rFonts w:hint="eastAsia" w:ascii="宋体" w:hAnsi="宋体" w:eastAsia="宋体" w:cs="宋体"/>
                <w:b/>
                <w:sz w:val="20"/>
                <w:lang w:val="en-US" w:eastAsia="zh-CN"/>
              </w:rPr>
              <w:t>0</w:t>
            </w:r>
            <w:r>
              <w:rPr>
                <w:rFonts w:ascii="宋体" w:hAnsi="宋体" w:eastAsia="宋体" w:cs="宋体"/>
                <w:b/>
                <w:sz w:val="20"/>
              </w:rPr>
              <w:t>.</w:t>
            </w:r>
            <w:r>
              <w:rPr>
                <w:rFonts w:hint="eastAsia" w:ascii="宋体" w:hAnsi="宋体" w:eastAsia="宋体" w:cs="宋体"/>
                <w:b/>
                <w:sz w:val="20"/>
              </w:rPr>
              <w:t>海外</w:t>
            </w:r>
            <w:r>
              <w:rPr>
                <w:rFonts w:ascii="宋体" w:hAnsi="宋体" w:eastAsia="宋体" w:cs="宋体"/>
                <w:b/>
                <w:sz w:val="20"/>
              </w:rPr>
              <w:t>对自越南</w:t>
            </w:r>
            <w:r>
              <w:rPr>
                <w:rFonts w:hint="eastAsia" w:ascii="宋体" w:hAnsi="宋体" w:eastAsia="宋体" w:cs="宋体"/>
                <w:b/>
                <w:sz w:val="20"/>
              </w:rPr>
              <w:t>出口</w:t>
            </w:r>
            <w:r>
              <w:rPr>
                <w:rFonts w:ascii="宋体" w:hAnsi="宋体" w:eastAsia="宋体" w:cs="宋体"/>
                <w:b/>
                <w:sz w:val="20"/>
              </w:rPr>
              <w:t>的冷轧不锈钢</w:t>
            </w:r>
            <w:r>
              <w:rPr>
                <w:rFonts w:hint="eastAsia" w:ascii="宋体" w:hAnsi="宋体" w:eastAsia="宋体" w:cs="宋体"/>
                <w:b/>
                <w:sz w:val="20"/>
              </w:rPr>
              <w:t>产品开展反倾销调查的影响</w:t>
            </w:r>
            <w:r>
              <w:rPr>
                <w:rFonts w:ascii="宋体" w:hAnsi="宋体" w:eastAsia="宋体" w:cs="宋体"/>
                <w:sz w:val="20"/>
              </w:rPr>
              <w:t xml:space="preserve">    答:近年来，公司积极投资东南亚市场，推进全球化布局，越南2个生产基地均已投产，泰国项目也正在建设当中。泰国对自越南进口冷轧不锈钢加征反倾销税，以及中国台湾地区即将对自越南进口的冷轧不锈钢展开贸易调查，这些贸易措施可能会对公司在越南的产能产生短期影响。公司将结合国际贸易政策，积极拓展出口市场的同时，加大产品市场本土化。</w:t>
            </w:r>
            <w:r>
              <w:rPr>
                <w:rFonts w:hint="eastAsia" w:ascii="宋体" w:hAnsi="宋体" w:eastAsia="宋体" w:cs="宋体"/>
                <w:sz w:val="20"/>
                <w:lang w:val="en-US" w:eastAsia="zh-CN"/>
              </w:rPr>
              <w:t>随着越南不锈钢下游产业链的完善、以及基础建设发展的需求，公司对越南市场不锈钢需求的增量充满信心。</w:t>
            </w:r>
          </w:p>
        </w:tc>
      </w:tr>
      <w:tr w14:paraId="54050688">
        <w:trPr>
          <w:trHeight w:val="558" w:hRule="atLeast"/>
          <w:jc w:val="center"/>
        </w:trPr>
        <w:tc>
          <w:tcPr>
            <w:tcW w:w="2580" w:type="dxa"/>
            <w:vAlign w:val="center"/>
          </w:tcPr>
          <w:p w14:paraId="075AE87F">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14:paraId="07A380FA">
            <w:pPr>
              <w:pStyle w:val="12"/>
              <w:spacing w:before="100" w:beforeAutospacing="1" w:line="360" w:lineRule="auto"/>
              <w:rPr>
                <w:rFonts w:hint="eastAsia" w:ascii="宋体" w:hAnsi="宋体" w:eastAsia="宋体" w:cs="宋体"/>
                <w:sz w:val="20"/>
                <w:szCs w:val="20"/>
              </w:rPr>
            </w:pPr>
          </w:p>
        </w:tc>
      </w:tr>
      <w:tr w14:paraId="556C6328">
        <w:trPr>
          <w:trHeight w:val="558" w:hRule="atLeast"/>
          <w:jc w:val="center"/>
        </w:trPr>
        <w:tc>
          <w:tcPr>
            <w:tcW w:w="2580" w:type="dxa"/>
            <w:vAlign w:val="center"/>
          </w:tcPr>
          <w:p w14:paraId="22ED12AA">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14:paraId="4CF9FDCF">
            <w:pPr>
              <w:pStyle w:val="12"/>
              <w:spacing w:before="100" w:beforeAutospacing="1"/>
              <w:rPr>
                <w:rFonts w:hint="eastAsia" w:ascii="宋体" w:hAnsi="宋体" w:eastAsia="宋体" w:cs="宋体"/>
                <w:sz w:val="20"/>
                <w:szCs w:val="20"/>
              </w:rPr>
            </w:pPr>
            <w:r>
              <w:rPr>
                <w:rFonts w:ascii="宋体" w:hAnsi="宋体" w:eastAsia="宋体" w:cs="宋体"/>
                <w:sz w:val="20"/>
                <w:szCs w:val="20"/>
              </w:rPr>
              <w:t>2025年</w:t>
            </w:r>
            <w:r>
              <w:rPr>
                <w:rFonts w:hint="eastAsia" w:ascii="宋体" w:hAnsi="宋体" w:eastAsia="宋体" w:cs="宋体"/>
                <w:sz w:val="20"/>
                <w:szCs w:val="20"/>
              </w:rPr>
              <w:t>10-</w:t>
            </w:r>
            <w:r>
              <w:rPr>
                <w:rFonts w:ascii="宋体" w:hAnsi="宋体" w:eastAsia="宋体" w:cs="宋体"/>
                <w:sz w:val="20"/>
                <w:szCs w:val="20"/>
              </w:rPr>
              <w:t>11月</w:t>
            </w:r>
          </w:p>
        </w:tc>
      </w:tr>
    </w:tbl>
    <w:p w14:paraId="6EB6C492">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10601000101010101"/>
    <w:charset w:val="88"/>
    <w:family w:val="roman"/>
    <w:pitch w:val="default"/>
    <w:sig w:usb0="00000000" w:usb1="00000000" w:usb2="00000016" w:usb3="00000000" w:csb0="00100001" w:csb1="00000000"/>
  </w:font>
  <w:font w:name="MS Gothic">
    <w:altName w:val="冬青黑体简体中文"/>
    <w:panose1 w:val="020B0609070205080204"/>
    <w:charset w:val="80"/>
    <w:family w:val="modern"/>
    <w:pitch w:val="default"/>
    <w:sig w:usb0="00000000" w:usb1="00000000" w:usb2="08000012" w:usb3="00000000" w:csb0="0002009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4367"/>
    <w:rsid w:val="00026CC3"/>
    <w:rsid w:val="00036089"/>
    <w:rsid w:val="00053CFA"/>
    <w:rsid w:val="000633EC"/>
    <w:rsid w:val="00063804"/>
    <w:rsid w:val="000665A2"/>
    <w:rsid w:val="000877AB"/>
    <w:rsid w:val="000B7C08"/>
    <w:rsid w:val="000D12CF"/>
    <w:rsid w:val="000D2D88"/>
    <w:rsid w:val="000E4B20"/>
    <w:rsid w:val="000F45CD"/>
    <w:rsid w:val="000F689A"/>
    <w:rsid w:val="0011418F"/>
    <w:rsid w:val="00172C24"/>
    <w:rsid w:val="001860AC"/>
    <w:rsid w:val="001D6500"/>
    <w:rsid w:val="001E59D1"/>
    <w:rsid w:val="001E5EA4"/>
    <w:rsid w:val="002042A7"/>
    <w:rsid w:val="00205911"/>
    <w:rsid w:val="002146AD"/>
    <w:rsid w:val="00275CB6"/>
    <w:rsid w:val="002800B5"/>
    <w:rsid w:val="00295B29"/>
    <w:rsid w:val="002D0D0C"/>
    <w:rsid w:val="002D4073"/>
    <w:rsid w:val="002E7098"/>
    <w:rsid w:val="00301D32"/>
    <w:rsid w:val="00314D3A"/>
    <w:rsid w:val="00355CAA"/>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72BDF"/>
    <w:rsid w:val="004925E7"/>
    <w:rsid w:val="00495B11"/>
    <w:rsid w:val="004F6FF3"/>
    <w:rsid w:val="00543359"/>
    <w:rsid w:val="00571B49"/>
    <w:rsid w:val="005743AE"/>
    <w:rsid w:val="005D64CA"/>
    <w:rsid w:val="005E5717"/>
    <w:rsid w:val="005E6DB2"/>
    <w:rsid w:val="005F0D7D"/>
    <w:rsid w:val="0061433E"/>
    <w:rsid w:val="0062751D"/>
    <w:rsid w:val="006354AA"/>
    <w:rsid w:val="00655BB8"/>
    <w:rsid w:val="00661AFA"/>
    <w:rsid w:val="006726BF"/>
    <w:rsid w:val="00677B77"/>
    <w:rsid w:val="0068718A"/>
    <w:rsid w:val="006A2739"/>
    <w:rsid w:val="006B1B79"/>
    <w:rsid w:val="006B5C95"/>
    <w:rsid w:val="006E14B0"/>
    <w:rsid w:val="006F0108"/>
    <w:rsid w:val="00704AE6"/>
    <w:rsid w:val="007153A2"/>
    <w:rsid w:val="00724A68"/>
    <w:rsid w:val="007271BF"/>
    <w:rsid w:val="00730DD3"/>
    <w:rsid w:val="00733224"/>
    <w:rsid w:val="007613DA"/>
    <w:rsid w:val="00764128"/>
    <w:rsid w:val="00774CF9"/>
    <w:rsid w:val="007824B8"/>
    <w:rsid w:val="007910DD"/>
    <w:rsid w:val="007A3EC1"/>
    <w:rsid w:val="007B3368"/>
    <w:rsid w:val="007B4884"/>
    <w:rsid w:val="007D0A69"/>
    <w:rsid w:val="007D6DC4"/>
    <w:rsid w:val="007F1EA5"/>
    <w:rsid w:val="00853463"/>
    <w:rsid w:val="00893F25"/>
    <w:rsid w:val="00895035"/>
    <w:rsid w:val="008B2B14"/>
    <w:rsid w:val="008B77F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57E49"/>
    <w:rsid w:val="00A67BAB"/>
    <w:rsid w:val="00A71E4F"/>
    <w:rsid w:val="00A75C61"/>
    <w:rsid w:val="00A9601B"/>
    <w:rsid w:val="00AB2A2C"/>
    <w:rsid w:val="00AD100E"/>
    <w:rsid w:val="00AE1E36"/>
    <w:rsid w:val="00AF378C"/>
    <w:rsid w:val="00AF74AA"/>
    <w:rsid w:val="00B03C2F"/>
    <w:rsid w:val="00B15064"/>
    <w:rsid w:val="00B340A3"/>
    <w:rsid w:val="00B410F5"/>
    <w:rsid w:val="00B6280C"/>
    <w:rsid w:val="00B671A4"/>
    <w:rsid w:val="00B72CD4"/>
    <w:rsid w:val="00B73B82"/>
    <w:rsid w:val="00B85B00"/>
    <w:rsid w:val="00BF132F"/>
    <w:rsid w:val="00C13878"/>
    <w:rsid w:val="00C30EF5"/>
    <w:rsid w:val="00C42C7D"/>
    <w:rsid w:val="00C80327"/>
    <w:rsid w:val="00CA1705"/>
    <w:rsid w:val="00CE1A54"/>
    <w:rsid w:val="00CF5FB6"/>
    <w:rsid w:val="00D02518"/>
    <w:rsid w:val="00D17454"/>
    <w:rsid w:val="00D33FBC"/>
    <w:rsid w:val="00D7535C"/>
    <w:rsid w:val="00D76302"/>
    <w:rsid w:val="00DA5CE2"/>
    <w:rsid w:val="00DE10E8"/>
    <w:rsid w:val="00DE752D"/>
    <w:rsid w:val="00DF5B8F"/>
    <w:rsid w:val="00E16FDA"/>
    <w:rsid w:val="00E35F58"/>
    <w:rsid w:val="00E45BD9"/>
    <w:rsid w:val="00E55D0F"/>
    <w:rsid w:val="00E66FFC"/>
    <w:rsid w:val="00E759D6"/>
    <w:rsid w:val="00E84A8C"/>
    <w:rsid w:val="00E976DE"/>
    <w:rsid w:val="00EC0F83"/>
    <w:rsid w:val="00EE3187"/>
    <w:rsid w:val="00EF3281"/>
    <w:rsid w:val="00EF499B"/>
    <w:rsid w:val="00F14977"/>
    <w:rsid w:val="00F31F1F"/>
    <w:rsid w:val="00F84AA6"/>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3966888"/>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3FFE5D2"/>
    <w:rsid w:val="74210CA6"/>
    <w:rsid w:val="746F4E76"/>
    <w:rsid w:val="76430096"/>
    <w:rsid w:val="788C25F5"/>
    <w:rsid w:val="79F72AA9"/>
    <w:rsid w:val="7A144529"/>
    <w:rsid w:val="7DD37FAE"/>
    <w:rsid w:val="7FBD25EB"/>
    <w:rsid w:val="FFBFC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Pages>4</Pages>
  <Words>1101</Words>
  <Characters>1135</Characters>
  <Lines>70</Lines>
  <Paragraphs>93</Paragraphs>
  <TotalTime>4480</TotalTime>
  <ScaleCrop>false</ScaleCrop>
  <LinksUpToDate>false</LinksUpToDate>
  <CharactersWithSpaces>2143</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2022-04-12T22:10:00Z</dcterms:created>
  <dc:creator>jie.huang</dc:creator>
  <cp:lastModifiedBy>张伟</cp:lastModifiedBy>
  <dcterms:modified xsi:type="dcterms:W3CDTF">2025-12-08T10:50:19Z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FC3CF5A8307C32C5BD7B3269041333D3_43</vt:lpwstr>
  </property>
  <property fmtid="{D5CDD505-2E9C-101B-9397-08002B2CF9AE}" pid="4" name="KSOTemplateDocerSaveRecord">
    <vt:lpwstr>eyJoZGlkIjoiOGM5NTU1N2RhMWY0YTA0NTk3MGY0YjY5ODdkZWVlM2UiLCJ1c2VySWQiOiIyNDU4NTQzMjEifQ==</vt:lpwstr>
  </property>
</Properties>
</file>