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11月1日至11月30日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路演场地会议室、公司会议室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白云山执行董事兼总经理黎洪，白云山董事会秘书黄雪贞，白云山财务总监刘菲，王老吉大健康党委副书记吴桃生，王老吉大健康生产总监杨小军，王老吉大健康董事会秘书吴浠，董秘室经理李莉、李春瑶、曾巍巍</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5D8B8F4">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11月5日：华创证券、太平资产、信达澳亚</w:t>
            </w:r>
          </w:p>
          <w:p w14:paraId="54F12F6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11月11日：信达证券、富国基金</w:t>
            </w:r>
          </w:p>
          <w:p w14:paraId="0777B7D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11月12日：中信证券、招商基金、大成基金</w:t>
            </w:r>
          </w:p>
          <w:p w14:paraId="507AB77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11月14日：中信证券、中金公司、兴业证券、天风证券、申万宏源、信达证券、招商证券、长城证券、国海证券、华源证券、汇添富基金、国联基金、大成基金、国泰海通证券以及近40名个人投资者</w:t>
            </w:r>
          </w:p>
          <w:p w14:paraId="0528BC3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11月20日：中欧基金</w:t>
            </w:r>
          </w:p>
          <w:p w14:paraId="2C78CF2A">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11月25日：信达证券、太平资产、博时基金</w:t>
            </w:r>
          </w:p>
          <w:p w14:paraId="0ED35ABA">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11月26日：招商证券、农银汇理</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（一）公司2025年前三季度经营情况如何？</w:t>
            </w:r>
          </w:p>
          <w:p w14:paraId="71BE4F4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答：2025年前三季度，公司实现营业收入616.06亿元，同比增长4.31%；利润总额为41.84亿元，同比增长4.44%；归属于本公司股东的净利润为33.10亿元，同比增长4.78%。</w:t>
            </w:r>
          </w:p>
          <w:p w14:paraId="767F48A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30B97D1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（二）公司有哪些创新药项目？未来在创新药发展方面有何规划？</w:t>
            </w:r>
          </w:p>
          <w:p w14:paraId="3A1D5AD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化学药、中成药均有在研1类创新药项目，包括BYS10片、HG030片、养阴舒肝颗粒、LBZ-18、注射用头孢嗪脒钠等，涵盖抗肿瘤、早发性卵巢功能不全、癌因性疲乏、抗感染等多个领域。2025年，公司积极构建成果转化、产业政策沟通交流机制，与大院大所、高校院校以及院士专家团队开展常态化交流；积极布局医疗机构制剂新药转化，推进广州市医疗机构制剂中心项目建设，并完成设立广州采制药业有限公司；此外，持续完善科创体制机制，进一步激发内部创新活力。</w:t>
            </w:r>
          </w:p>
          <w:p w14:paraId="50B35C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未来，公司将坚定推进科研创新，着力强化机制创新、平台搭建、项目建设、管线布局，持续推进科研资源集聚、强化细分领域布局，通过自研、产学研合作、原研进口引进等模式持续推进创新药产业化上市步伐，推动公司从传统企业向科技创新型企业转型升级。</w:t>
            </w:r>
          </w:p>
          <w:p w14:paraId="432458A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06A7B1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（三）公司在研创新药项目中，哪些项目有望于近年获批上市？</w:t>
            </w:r>
          </w:p>
          <w:p w14:paraId="55578A8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研发的选择性RET小分子抑制剂BYS10片于今年9月收到国家药品监督管理局药品审评中心的反馈意见，同意其未来采用Ⅱ期单臂临床试验申请上市。现阶段，RET靶点已成为实体瘤治疗的热点靶点，RET抑制剂已成为主流治疗选择。目前，全球仅有Pralsetinib（BLU-667）和Selpercatinib（LOXO-292）两款RET抑制剂新药获批上市。根据临床数据，公司在研的BYS10片具有强效、持久的抗肿瘤活性，在RET基因突变的多种实体瘤如晚期非小细胞肺癌（NSCLC）、甲状腺癌（TC）、甲状腺髓样癌（MTC）等患者中表现出良好的临床活性和耐受性。公司重视研发创新，未来将加大对该产品的研发投入，加快其获批上市步伐；同时，亦将加大对其他在研创新药项目的研发投入，大力推动在研项目研发进程。</w:t>
            </w:r>
          </w:p>
          <w:p w14:paraId="0209128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527CB11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（四）第11批国家集采结果已公布，公司是否有产品中选？</w:t>
            </w:r>
          </w:p>
          <w:p w14:paraId="4B28B25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答：公司旗下阿莫西林克拉维酸钾干混悬剂在第11批国家集采中中标。公司初步判断，该产品在国采中中标有望增强其在院内的优势并带动OTC市场，从而拉动产品销售收入。</w:t>
            </w:r>
          </w:p>
          <w:p w14:paraId="0F3AE25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1E50D28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（五）第四批全国中成药集采已启动，公司是否有产品涉及？此次中成药集采预计会对公司有何影响？</w:t>
            </w:r>
          </w:p>
          <w:p w14:paraId="7CFB1A9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答：根据网上的集采药品清单，初步预计此次中成药集采涉及公司合并报表范围内的产品主要有强力枇杷露。该产品2024年年度销售收入较小，预计对公司不会造成重大影响。</w:t>
            </w:r>
          </w:p>
          <w:p w14:paraId="0250E82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p>
          <w:p w14:paraId="19F1C2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（六）2025年前三季度，公司经营活动产生的现金流量净额同比大幅减少，主要原因是什么？</w:t>
            </w:r>
          </w:p>
          <w:p w14:paraId="3EDB440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答：这主要是因为公司医药流通业务采购商品支出增加，而应收账款回款有所下降。</w:t>
            </w:r>
          </w:p>
          <w:p w14:paraId="395E556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19E8A77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（七）当前处于央国企总结“十四五”、制定“十五五”的关键时期，公司在“十五五”规划方面有何进展？</w:t>
            </w:r>
          </w:p>
          <w:p w14:paraId="430C68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对此次“十五五”规划高度重视，已与全球知名咨询机构波士顿合作开展“十五五”规划工作。目前，波士顿团队已进驻公司，全面开展公司“十四五”总结工作，“十五五”规划相关工作亦在有序推进中。</w:t>
            </w:r>
          </w:p>
          <w:p w14:paraId="1CF6916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1EF183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（八）目前，金戈销售情况如何？</w:t>
            </w:r>
          </w:p>
          <w:p w14:paraId="49E4F9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市场竞争加剧、到店人数下降、零售药店数量减少等因素持续影响，金戈2025年面临压力。公司基于生殖健康领域行业态势转变及自身整体战略重构，将不断优化生殖健康领域产品结构，持续加强新产品研发及产业化进程，积极推进不同管线、不同规格、不同剂型的新药布局；同时，强化与美团、饿了么等头部连锁的深度合作，由点带面深入到二级市场及县域市场，稳步推进金戈及生殖健康领域新产品持续发展。</w:t>
            </w:r>
          </w:p>
          <w:p w14:paraId="0CA7E0F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79F109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（九）公司在药品培育方面有何规划？</w:t>
            </w:r>
          </w:p>
          <w:p w14:paraId="23089E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正在大力推进各类产品线的系统梳理工作，推动形成儿科、止咳化痰类、生育健康及男科、骨科类、抗生素、感冒类等专科药品矩阵，同时加强科学研究、二次开发，并从产品定位、价格管理、渠道掌控、促销策划等方面不断完善重点品种的营销规划，培育打造消费者心中的“首选产品”。</w:t>
            </w:r>
          </w:p>
          <w:p w14:paraId="52953BE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0BF83CB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（十）目前，公司王老吉大健康板块发展情况如何？</w:t>
            </w:r>
          </w:p>
          <w:p w14:paraId="2481AD6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宏观环境和市场竞争等因素影响，公司大健康业务发展依然面临压力。当前，公司王老吉大健康以“拓展赛道，升级品牌”为核心目标，进一步建立消费者心智，提升品牌价值，并持续通过多项举措推动大健康业务持续发展，具体包括：（1）将品牌定位与业务战略投入进行精准匹配，持续获取销售拉力；（2）强化渠道和终端，紧抓春节和水头销售档期，在巩固礼品市场的同时加大即饮餐饮市场渗透；（3）多项激励政策激发业务团队销售积极性，持续拉动销量提升。</w:t>
            </w:r>
          </w:p>
          <w:p w14:paraId="3F4029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p>
          <w:p w14:paraId="37BE46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（十一）王老吉海外业务发展情况如何？</w:t>
            </w:r>
          </w:p>
          <w:p w14:paraId="2C4F834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大健康板块加码推进国际化进程，逐步推进从产品出海到产业链出海再到品牌出海的跨越式升级。品牌出海方面，上市4大风味国际罐并在上海召开全球发布盛典，持续强化媒体的宣传推广与重点城市的铺市与地推；产品方面，自11月以来4大风味国际罐已陆续在新加坡、马来西亚等国家上市；海外生产方面，与马来西亚合作伙伴签署本土化生产合作框架协议，打通“本地生产+本地罐装+区域辐射”完整产业链条，迈出海外本土化生产关键步伐；此外，还在重点区域市场深耕、产品本地化适配及海外社媒运营等方面持续发力，系统性构建国际业务增长新格局。</w:t>
            </w:r>
          </w:p>
          <w:p w14:paraId="3414A99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p>
          <w:p w14:paraId="625B556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（十二）公司新推出的原味凉茶销售情况如何？</w:t>
            </w:r>
          </w:p>
          <w:p w14:paraId="44308F7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答：原味凉茶上市以来凭借其纯植物无添加的健康特性受到终端消费者的广泛好评。目前，公司正在大力推进原味凉茶在全国市场的铺市率提升，逐步扩大覆盖面。</w:t>
            </w:r>
          </w:p>
          <w:p w14:paraId="36475BE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p>
          <w:p w14:paraId="5AF180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bCs/>
                <w:kern w:val="0"/>
                <w:sz w:val="24"/>
                <w:szCs w:val="24"/>
                <w:lang w:val="en-US" w:eastAsia="zh-CN" w:bidi="ar"/>
              </w:rPr>
              <w:t>（十三）广州医药应收账款回款情况如何？公司有何应对措施？</w:t>
            </w:r>
          </w:p>
          <w:p w14:paraId="6DFF8A9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部分医疗机构回款延迟等外部环境和因素影响，广州医药应收账款周转效率面临一定压力。为有效应对回款挑战，广州医药一方面将深化过程精细化管理与催收，持续强化动态风险监控和回款管理；另一方面，积极拓展多元化融资渠道，加速推动应收账款资产证券化（ABS）、保理等金融工具的应用，不断优化整体财务结构。</w:t>
            </w:r>
          </w:p>
          <w:p w14:paraId="2E10E78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466DE99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（十四）广州医药新三板挂牌目前进展如何？</w:t>
            </w:r>
          </w:p>
          <w:p w14:paraId="50A138F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答：广州医药已于2025年5月20日起在全国中小企业股份转让系统挂牌并公开转让，证券简称为“广州医药”，证券代码为874839，交易方式为集合竞价交易。</w:t>
            </w:r>
          </w:p>
          <w:p w14:paraId="4788F5E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67AB851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（十五）公司是否有回购股票的计划？</w:t>
            </w:r>
          </w:p>
          <w:p w14:paraId="3753DB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答：公司暂无回购计划。后续，公司如有回购计划，将按照两地上市规则履行披露义务。</w:t>
            </w:r>
          </w:p>
          <w:p w14:paraId="659BAD0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default"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（十六）未来公司是否会提高分红？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已实施2025年中期现金分红方案，每股派发现金红利0.4元（含税），合计派发现金红利6.5亿元（含税）。未来，公司将根据企业经营的实际情况，继续经营好业绩，争取在合理范围内给投资者更大回报。</w:t>
            </w:r>
          </w:p>
          <w:p w14:paraId="58F1C9A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Calibri" w:hAnsi="Calibri" w:eastAsia="宋体" w:cs="Times New Roman"/>
                <w:b/>
                <w:bCs/>
                <w:kern w:val="0"/>
                <w:sz w:val="24"/>
                <w:szCs w:val="24"/>
                <w:lang w:val="en-US" w:eastAsia="zh-CN" w:bidi="ar"/>
              </w:rPr>
            </w:pPr>
            <w:r>
              <w:rPr>
                <w:rFonts w:hint="eastAsia" w:ascii="Calibri" w:hAnsi="Calibri" w:eastAsia="宋体" w:cs="Times New Roman"/>
                <w:b/>
                <w:bCs/>
                <w:kern w:val="0"/>
                <w:sz w:val="24"/>
                <w:szCs w:val="24"/>
                <w:lang w:val="en-US" w:eastAsia="zh-CN" w:bidi="ar"/>
              </w:rPr>
              <w:t>（十七）公司并购方面有什么计划？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开展投资并购，大力构建创投基金体系，出资15亿元参设广药基金二期，先后投资布局疫苗、合成生物、健康电商、微针制剂等前沿领域项目；9月广药基金二期签约出资7.49亿元收购南京医药股份11.04%的股份，通过双方在资本层面、自有医药品种分销渠道建设、中医药领域等各方面合作，优化本公司在华东区域的产业布局，增强本公司医药流通业务竞争优势，并带动医药制造业务增长，持续推动本公司业务发展。公司亦将积极布局原料药、高端医疗器械、CRO（研发委外）、CMO（产业化委外）等领域，同时持续推进构建全生命周期的投资基金体系，促进公司业务强链补链延链。</w:t>
            </w:r>
          </w:p>
          <w:p w14:paraId="04BCDA6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p>
          <w:p w14:paraId="01FB91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2" w:firstLineChars="200"/>
              <w:textAlignment w:val="auto"/>
              <w:rPr>
                <w:rFonts w:hint="eastAsia" w:ascii="宋体" w:hAnsi="宋体" w:eastAsia="宋体" w:cs="Times New Roman"/>
                <w:b/>
                <w:bCs/>
                <w:sz w:val="24"/>
                <w:szCs w:val="24"/>
                <w:lang w:val="en-US" w:eastAsia="zh-CN" w:bidi="ar"/>
              </w:rPr>
            </w:pPr>
            <w:r>
              <w:rPr>
                <w:rFonts w:hint="eastAsia" w:ascii="宋体" w:hAnsi="宋体" w:eastAsia="宋体" w:cs="Times New Roman"/>
                <w:b/>
                <w:bCs/>
                <w:sz w:val="24"/>
                <w:szCs w:val="24"/>
                <w:lang w:val="en-US" w:eastAsia="zh-CN" w:bidi="ar"/>
              </w:rPr>
              <w:t>（十八）公司在薪酬绩效与激励机制方面有何进展？</w:t>
            </w:r>
          </w:p>
          <w:p w14:paraId="146E9B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已聘请第三方机构，结合公司实际发展需求，探索制定薪酬绩效优化方案，进一步激发人才动力，加强人才队伍建设；同时，积极探索适合公司或下属企业发展的改革方案，探索开展混改、职业经理人机制等创新性举措，同时支持符合条件的下属企业探索开展股权激励、员工持股等，进一步激发下属子公司发展活力。</w:t>
            </w:r>
          </w:p>
          <w:p w14:paraId="38AE43B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p>
          <w:p w14:paraId="725B02D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default" w:ascii="宋体" w:hAnsi="宋体" w:eastAsia="宋体" w:cs="Times New Roman"/>
                <w:b/>
                <w:bCs/>
                <w:sz w:val="24"/>
                <w:szCs w:val="24"/>
                <w:lang w:val="en-US" w:eastAsia="zh-CN" w:bidi="ar"/>
              </w:rPr>
            </w:pPr>
            <w:r>
              <w:rPr>
                <w:rFonts w:hint="eastAsia" w:ascii="宋体" w:hAnsi="宋体" w:eastAsia="宋体" w:cs="Times New Roman"/>
                <w:b/>
                <w:bCs/>
                <w:sz w:val="24"/>
                <w:szCs w:val="24"/>
                <w:lang w:val="en-US" w:eastAsia="zh-CN" w:bidi="ar"/>
              </w:rPr>
              <w:t>（十九）公司在加强市值管理方面有哪些举措？</w:t>
            </w:r>
          </w:p>
          <w:p w14:paraId="5664DA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答：公司一直重视市值管理。2025年，公司制定了《市值管理制度》，同时通</w:t>
            </w:r>
            <w:bookmarkStart w:id="0" w:name="_GoBack"/>
            <w:bookmarkEnd w:id="0"/>
            <w:r>
              <w:rPr>
                <w:rFonts w:hint="eastAsia" w:ascii="宋体" w:hAnsi="宋体" w:eastAsia="宋体" w:cs="Times New Roman"/>
                <w:b w:val="0"/>
                <w:bCs w:val="0"/>
                <w:sz w:val="24"/>
                <w:szCs w:val="24"/>
                <w:lang w:val="en-US" w:eastAsia="zh-CN" w:bidi="ar"/>
              </w:rPr>
              <w:t>过提高分红比例（2024年分红比例提高至45.87%）、增加分红频次（实施2025年中期分红）、持续加强投资者交流（开展各类投资者交流活动超80场、交流人次超350）、强化ESG体系建设（MSCI、WIND的ESG评级均为A级）等方式不断维护公司市值。下一步，公司将坚持内生增长与外延拓展，推动公司持续稳定发展，同时加强品牌管理、强化科研创新、加快资本运作、优化完善考核与激励机制、灵活运用股利措施、更加主动开展投资者交流等，进一步强化市值管理。</w:t>
            </w:r>
          </w:p>
        </w:tc>
      </w:tr>
    </w:tbl>
    <w:p w14:paraId="4D652D88">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7B32739"/>
    <w:rsid w:val="0882554E"/>
    <w:rsid w:val="090C0028"/>
    <w:rsid w:val="091A677A"/>
    <w:rsid w:val="09EB2C7F"/>
    <w:rsid w:val="0A2F6341"/>
    <w:rsid w:val="0A764C3F"/>
    <w:rsid w:val="0A8344B4"/>
    <w:rsid w:val="0AA7304A"/>
    <w:rsid w:val="0ADD5073"/>
    <w:rsid w:val="0AEC3153"/>
    <w:rsid w:val="0AF11EFA"/>
    <w:rsid w:val="0B801AF3"/>
    <w:rsid w:val="0BCE214B"/>
    <w:rsid w:val="0BFD6B61"/>
    <w:rsid w:val="0C17188A"/>
    <w:rsid w:val="0C9B098C"/>
    <w:rsid w:val="0CB240D8"/>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3F476E"/>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D333DB"/>
    <w:rsid w:val="1DDE150B"/>
    <w:rsid w:val="1E3C42D4"/>
    <w:rsid w:val="1ECB4267"/>
    <w:rsid w:val="1F3638AE"/>
    <w:rsid w:val="1F594E5D"/>
    <w:rsid w:val="1FBD2442"/>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2275D1"/>
    <w:rsid w:val="266876DA"/>
    <w:rsid w:val="26862B41"/>
    <w:rsid w:val="26F61EFB"/>
    <w:rsid w:val="2758774E"/>
    <w:rsid w:val="278E4F1E"/>
    <w:rsid w:val="280D4603"/>
    <w:rsid w:val="287912E5"/>
    <w:rsid w:val="287C121A"/>
    <w:rsid w:val="292E501E"/>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E47B19"/>
    <w:rsid w:val="2F2D14C0"/>
    <w:rsid w:val="2F964F05"/>
    <w:rsid w:val="2FEA11EA"/>
    <w:rsid w:val="3036293F"/>
    <w:rsid w:val="30896480"/>
    <w:rsid w:val="30963095"/>
    <w:rsid w:val="30A07565"/>
    <w:rsid w:val="31363720"/>
    <w:rsid w:val="314E47F2"/>
    <w:rsid w:val="315C308A"/>
    <w:rsid w:val="31807F66"/>
    <w:rsid w:val="31B118FD"/>
    <w:rsid w:val="32A7158A"/>
    <w:rsid w:val="32AE46C6"/>
    <w:rsid w:val="32DE69D8"/>
    <w:rsid w:val="32EB2B64"/>
    <w:rsid w:val="335C6172"/>
    <w:rsid w:val="336229E7"/>
    <w:rsid w:val="337F6B6E"/>
    <w:rsid w:val="33911F37"/>
    <w:rsid w:val="33E21C1A"/>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864B2"/>
    <w:rsid w:val="3A1F4445"/>
    <w:rsid w:val="3A3815D3"/>
    <w:rsid w:val="3A3E6C77"/>
    <w:rsid w:val="3A415891"/>
    <w:rsid w:val="3A591F82"/>
    <w:rsid w:val="3A6D7BE3"/>
    <w:rsid w:val="3ACC7DDF"/>
    <w:rsid w:val="3B225C51"/>
    <w:rsid w:val="3B450930"/>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1990C37"/>
    <w:rsid w:val="41ED47FB"/>
    <w:rsid w:val="41F80C94"/>
    <w:rsid w:val="42537038"/>
    <w:rsid w:val="430D7664"/>
    <w:rsid w:val="43190F58"/>
    <w:rsid w:val="43763100"/>
    <w:rsid w:val="437B2938"/>
    <w:rsid w:val="4427077C"/>
    <w:rsid w:val="44492474"/>
    <w:rsid w:val="44617BA5"/>
    <w:rsid w:val="44DC3315"/>
    <w:rsid w:val="450137F0"/>
    <w:rsid w:val="45053792"/>
    <w:rsid w:val="4534527F"/>
    <w:rsid w:val="453D05C7"/>
    <w:rsid w:val="45516773"/>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502D0E36"/>
    <w:rsid w:val="50333DEC"/>
    <w:rsid w:val="50414974"/>
    <w:rsid w:val="508F56DF"/>
    <w:rsid w:val="50E35EBB"/>
    <w:rsid w:val="50FB0FC7"/>
    <w:rsid w:val="51404C2B"/>
    <w:rsid w:val="51F949B7"/>
    <w:rsid w:val="52985AF9"/>
    <w:rsid w:val="53505AE5"/>
    <w:rsid w:val="53830F02"/>
    <w:rsid w:val="53A316C5"/>
    <w:rsid w:val="53CE31DB"/>
    <w:rsid w:val="53FD9CDC"/>
    <w:rsid w:val="54327A61"/>
    <w:rsid w:val="54DC7AC6"/>
    <w:rsid w:val="5560764A"/>
    <w:rsid w:val="55AC288F"/>
    <w:rsid w:val="55C86F8B"/>
    <w:rsid w:val="55D6790C"/>
    <w:rsid w:val="56D15A89"/>
    <w:rsid w:val="572C51A7"/>
    <w:rsid w:val="576C677A"/>
    <w:rsid w:val="57C661A5"/>
    <w:rsid w:val="57CB1AC4"/>
    <w:rsid w:val="58035059"/>
    <w:rsid w:val="587358E6"/>
    <w:rsid w:val="58AC2BA6"/>
    <w:rsid w:val="58E41B62"/>
    <w:rsid w:val="592D325B"/>
    <w:rsid w:val="59314761"/>
    <w:rsid w:val="593D2E59"/>
    <w:rsid w:val="59D02FE6"/>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087B42"/>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58469A"/>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096E04"/>
    <w:rsid w:val="70B12FF8"/>
    <w:rsid w:val="71141CBA"/>
    <w:rsid w:val="71F37B08"/>
    <w:rsid w:val="72127AC6"/>
    <w:rsid w:val="722F31E7"/>
    <w:rsid w:val="724F6669"/>
    <w:rsid w:val="72A5504C"/>
    <w:rsid w:val="72E363F2"/>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3B688B"/>
    <w:rsid w:val="7C41491B"/>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5ae93085-9c28-4790-b0f0-b6f02642f324</errorID>
      <errorWord>。</errorWord>
      <group>L1_Grammar</group>
      <groupName>语法问题</groupName>
      <ability>L2_Order</ability>
      <abilityName>语序不当</abilityName>
      <candidateList>
        <item>的方案。</item>
      </candidateList>
      <explain>句子可能没有遵循时空、逻辑顺序，或者介词、关联词等位置不当。</explain>
      <paraID>55578A8A</paraID>
      <start>72</start>
      <end>73</end>
      <status>ignored</status>
      <modifiedWord/>
      <trackRevisions>false</trackRevisions>
    </reviewItem>
    <reviewItem>
      <errorID>e33ec227-ed3a-46f9-bcac-bbb7865ee977</errorID>
      <errorWord>根据临床数据显示</errorWord>
      <group>L1_Word</group>
      <groupName>字词问题</groupName>
      <ability>L2_Typo</ability>
      <abilityName>字词错误</abilityName>
      <candidateList>
        <item>根据临床数据</item>
      </candidateList>
      <explain/>
      <paraID>55578A8A</paraID>
      <start>178</start>
      <end>184</end>
      <status>modified</status>
      <modifiedWord>根据临床数据</modifiedWord>
      <trackRevisions>false</trackRevisions>
    </reviewItem>
    <reviewItem>
      <errorID>8dda86bf-31b1-4d38-8d53-9413da129972</errorID>
      <errorWord>下降所致</errorWord>
      <group>L1_Grammar</group>
      <groupName>语法问题</groupName>
      <ability>L2_Confusion</ability>
      <abilityName>结构混乱</abilityName>
      <candidateList>
        <item>下降</item>
      </candidateList>
      <explain>句子中可能存在两种以上的句法结构，导致结构混乱。</explain>
      <paraID>3EDB4401</paraID>
      <start>34</start>
      <end>36</end>
      <status>modified</status>
      <modifiedWord>下降</modifiedWord>
      <trackRevisions>false</trackRevisions>
    </reviewItem>
    <reviewItem>
      <errorID>9fcd48d1-77f9-4645-a31b-6d39413808dd</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2481AD66</paraID>
      <start>2</start>
      <end>3</end>
      <status>modified</status>
      <modifiedWord>受</modifiedWord>
      <trackRevisions>false</trackRevisions>
    </reviewItem>
    <reviewItem>
      <errorID>e0f9392e-0549-4e8a-bead-0a4f1b213cc0</errorID>
      <errorWord>实</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146E9BCA</paraID>
      <start>17</start>
      <end>19</end>
      <status>modified</status>
      <modifiedWord>实际</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7893f-3163-4da9-8c05-9ba63e72fbed}">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7</Pages>
  <Words>3719</Words>
  <Characters>3926</Characters>
  <Lines>28</Lines>
  <Paragraphs>7</Paragraphs>
  <TotalTime>249</TotalTime>
  <ScaleCrop>false</ScaleCrop>
  <LinksUpToDate>false</LinksUpToDate>
  <CharactersWithSpaces>3970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2025-12-08T06:32:45Z</cp:lastPrinted>
  <dcterms:modified xsi:type="dcterms:W3CDTF">2025-12-08T06:49:33Z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38183B928F7E42EB81D4820942164782_13</vt:lpwstr>
  </property>
  <property fmtid="{D5CDD505-2E9C-101B-9397-08002B2CF9AE}" pid="4" name="KSOTemplateDocerSaveRecord">
    <vt:lpwstr>eyJoZGlkIjoiNmFhMmVlNzFjNDI0ZTliMTBjN2NmZDYxODZkZGVmMDciLCJ1c2VySWQiOiIzMzY0MjI1NDgifQ==</vt:lpwstr>
  </property>
</Properties>
</file>