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4"/>
        </w:rPr>
      </w:pPr>
      <w:r>
        <w:rPr>
          <w:rFonts w:hint="eastAsia" w:ascii="黑体" w:eastAsia="黑体"/>
          <w:sz w:val="24"/>
        </w:rPr>
        <w:t>证券代码：</w:t>
      </w:r>
      <w:r>
        <w:rPr>
          <w:rFonts w:hint="eastAsia" w:ascii="黑体" w:eastAsia="黑体"/>
          <w:b/>
          <w:sz w:val="24"/>
        </w:rPr>
        <w:t xml:space="preserve">600487  </w:t>
      </w:r>
      <w:r>
        <w:rPr>
          <w:rFonts w:hint="eastAsia" w:ascii="黑体" w:eastAsia="黑体"/>
          <w:sz w:val="24"/>
        </w:rPr>
        <w:t xml:space="preserve">                                股票简称：亨通光电</w:t>
      </w:r>
    </w:p>
    <w:p>
      <w:pPr>
        <w:spacing w:before="156" w:beforeLines="50" w:line="360" w:lineRule="auto"/>
        <w:jc w:val="center"/>
        <w:rPr>
          <w:rFonts w:ascii="_x000B__x000C_" w:hAnsi="_x000B__x000C_" w:eastAsia="黑体" w:cs="Times New Roman"/>
          <w:color w:val="FF0000"/>
          <w:sz w:val="36"/>
          <w:szCs w:val="36"/>
        </w:rPr>
      </w:pPr>
      <w:r>
        <w:rPr>
          <w:rFonts w:hint="eastAsia" w:ascii="_x000B__x000C_" w:hAnsi="_x000B__x000C_" w:eastAsia="黑体" w:cs="Times New Roman"/>
          <w:color w:val="FF0000"/>
          <w:sz w:val="36"/>
          <w:szCs w:val="36"/>
        </w:rPr>
        <w:t>江苏亨通光电股份有限公司</w:t>
      </w:r>
    </w:p>
    <w:p>
      <w:pPr>
        <w:spacing w:after="156" w:afterLines="50" w:line="360" w:lineRule="auto"/>
        <w:jc w:val="center"/>
        <w:rPr>
          <w:rFonts w:ascii="Times New Roman" w:hAnsi="Times New Roman" w:eastAsia="宋体" w:cs="Times New Roman"/>
          <w:color w:val="000000"/>
          <w:kern w:val="0"/>
          <w:sz w:val="24"/>
          <w:szCs w:val="24"/>
        </w:rPr>
      </w:pPr>
      <w:r>
        <w:rPr>
          <w:rFonts w:hint="eastAsia" w:ascii="_x000B__x000C_" w:hAnsi="_x000B__x000C_" w:eastAsia="黑体" w:cs="Times New Roman"/>
          <w:color w:val="FF0000"/>
          <w:sz w:val="36"/>
          <w:szCs w:val="36"/>
        </w:rPr>
        <w:t>投资者关系活动会议纪要</w:t>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江苏亨通光电股份有限公司（以下简称“公司”）近期通过组织线上线下交流会、</w:t>
      </w:r>
      <w:r>
        <w:rPr>
          <w:rFonts w:hint="eastAsia" w:ascii="Times New Roman" w:hAnsi="Times New Roman" w:eastAsia="宋体" w:cs="Times New Roman"/>
          <w:color w:val="000000"/>
          <w:kern w:val="0"/>
          <w:sz w:val="24"/>
          <w:szCs w:val="24"/>
          <w:lang w:val="en-US" w:eastAsia="zh-CN"/>
        </w:rPr>
        <w:t>路演、反路演、业绩</w:t>
      </w:r>
      <w:r>
        <w:rPr>
          <w:rFonts w:hint="eastAsia" w:ascii="Times New Roman" w:hAnsi="Times New Roman" w:eastAsia="宋体" w:cs="Times New Roman"/>
          <w:color w:val="000000"/>
          <w:kern w:val="0"/>
          <w:sz w:val="24"/>
          <w:szCs w:val="24"/>
        </w:rPr>
        <w:t>说明会、参加券商策略会等形式接待了机构调研</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rPr>
        <w:t>开展了投资者交流，主要情况如下：</w:t>
      </w:r>
    </w:p>
    <w:p>
      <w:pPr>
        <w:tabs>
          <w:tab w:val="left" w:pos="4980"/>
        </w:tabs>
        <w:spacing w:before="156" w:beforeLines="50" w:after="156" w:afterLines="50" w:line="360" w:lineRule="auto"/>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一、会议基本情况</w:t>
      </w:r>
      <w:r>
        <w:rPr>
          <w:rFonts w:ascii="Times New Roman" w:hAnsi="Times New Roman" w:eastAsia="宋体" w:cs="Times New Roman"/>
          <w:b/>
          <w:bCs/>
          <w:color w:val="000000"/>
          <w:kern w:val="0"/>
          <w:sz w:val="24"/>
          <w:szCs w:val="24"/>
        </w:rPr>
        <w:tab/>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1、会议形式：线上及线下交流会、</w:t>
      </w:r>
      <w:r>
        <w:rPr>
          <w:rFonts w:hint="eastAsia" w:ascii="Times New Roman" w:hAnsi="Times New Roman" w:eastAsia="宋体" w:cs="Times New Roman"/>
          <w:color w:val="000000"/>
          <w:kern w:val="0"/>
          <w:sz w:val="24"/>
          <w:szCs w:val="24"/>
          <w:lang w:val="en-US" w:eastAsia="zh-CN"/>
        </w:rPr>
        <w:t>路演、反路演、业绩</w:t>
      </w:r>
      <w:r>
        <w:rPr>
          <w:rFonts w:hint="eastAsia" w:ascii="Times New Roman" w:hAnsi="Times New Roman" w:eastAsia="宋体" w:cs="Times New Roman"/>
          <w:color w:val="000000"/>
          <w:kern w:val="0"/>
          <w:sz w:val="24"/>
          <w:szCs w:val="24"/>
        </w:rPr>
        <w:t>说明会</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rPr>
        <w:t>策略会</w:t>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2、主要参会人员：</w:t>
      </w:r>
    </w:p>
    <w:p>
      <w:pPr>
        <w:spacing w:before="156" w:beforeLines="50" w:after="156" w:afterLines="50" w:line="360" w:lineRule="auto"/>
        <w:ind w:firstLine="480" w:firstLineChars="200"/>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rPr>
        <w:t>公司参会：董事长崔巍、总经理张建峰、</w:t>
      </w:r>
      <w:r>
        <w:rPr>
          <w:rFonts w:hint="eastAsia" w:ascii="Times New Roman" w:hAnsi="Times New Roman" w:eastAsia="宋体" w:cs="Times New Roman"/>
          <w:color w:val="000000"/>
          <w:kern w:val="0"/>
          <w:sz w:val="24"/>
          <w:szCs w:val="24"/>
          <w:lang w:val="en-US" w:eastAsia="zh-CN"/>
        </w:rPr>
        <w:t>独立董事杨钧辉、</w:t>
      </w:r>
      <w:r>
        <w:rPr>
          <w:rFonts w:hint="eastAsia" w:ascii="Times New Roman" w:hAnsi="Times New Roman" w:eastAsia="宋体" w:cs="Times New Roman"/>
          <w:color w:val="000000"/>
          <w:kern w:val="0"/>
          <w:sz w:val="24"/>
          <w:szCs w:val="24"/>
        </w:rPr>
        <w:t>财务总监吴燕</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rPr>
        <w:t>董事会秘书顾怡倩、</w:t>
      </w:r>
      <w:r>
        <w:rPr>
          <w:rFonts w:hint="eastAsia" w:ascii="Times New Roman" w:hAnsi="Times New Roman" w:eastAsia="宋体" w:cs="Times New Roman"/>
          <w:color w:val="000000"/>
          <w:kern w:val="0"/>
          <w:sz w:val="24"/>
          <w:szCs w:val="24"/>
          <w:lang w:val="en-US" w:eastAsia="zh-CN"/>
        </w:rPr>
        <w:t>董事会办公室王志超</w:t>
      </w:r>
    </w:p>
    <w:p>
      <w:pPr>
        <w:spacing w:before="156" w:beforeLines="50" w:after="156" w:afterLines="50" w:line="360" w:lineRule="auto"/>
        <w:ind w:firstLine="480" w:firstLineChars="200"/>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rPr>
        <w:t>机构参会：</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天风证券</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、长江证券、国盛证券、中信建投、广发证券、国泰海通证券、西南证券、招商证券、华泰证券、中泰证券、中金</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公司、申万宏源、华创证券、浙商证券、兴业证券、西部证券、国金证券、华西证券、新华资产、中国人寿资产、华泰资产、人保资产、国投瑞银、富国基金、南方基金、华夏久盈、兴全基金、广发基金、长信基金、华夏基金、银华基金、建信基金、景顺长城、平安养老、摩根士丹利、海富通基金、湘财基金、太平基金、一典资本、富达投资Fidelity</w:t>
      </w:r>
      <w:r>
        <w:rPr>
          <w:rFonts w:hint="eastAsia" w:ascii="Times New Roman" w:hAnsi="Times New Roman" w:eastAsia="宋体" w:cs="Times New Roman"/>
          <w:color w:val="000000"/>
          <w:sz w:val="24"/>
          <w:szCs w:val="24"/>
          <w:highlight w:val="none"/>
        </w:rPr>
        <w:t>等约</w:t>
      </w:r>
      <w:r>
        <w:rPr>
          <w:rFonts w:hint="eastAsia" w:ascii="Times New Roman" w:hAnsi="Times New Roman" w:eastAsia="宋体" w:cs="Times New Roman"/>
          <w:color w:val="000000"/>
          <w:sz w:val="24"/>
          <w:szCs w:val="24"/>
          <w:highlight w:val="none"/>
          <w:lang w:val="en-US" w:eastAsia="zh-CN"/>
        </w:rPr>
        <w:t>200</w:t>
      </w:r>
      <w:r>
        <w:rPr>
          <w:rFonts w:hint="eastAsia" w:ascii="Times New Roman" w:hAnsi="Times New Roman" w:eastAsia="宋体" w:cs="Times New Roman"/>
          <w:sz w:val="24"/>
          <w:szCs w:val="24"/>
          <w:highlight w:val="none"/>
        </w:rPr>
        <w:t>家机构。机构</w:t>
      </w:r>
      <w:r>
        <w:rPr>
          <w:rFonts w:hint="eastAsia" w:ascii="Times New Roman" w:hAnsi="Times New Roman" w:eastAsia="宋体" w:cs="Times New Roman"/>
          <w:sz w:val="24"/>
          <w:szCs w:val="24"/>
          <w:highlight w:val="none"/>
          <w:lang w:val="en-US" w:eastAsia="zh-CN"/>
        </w:rPr>
        <w:t>及个人</w:t>
      </w:r>
      <w:r>
        <w:rPr>
          <w:rFonts w:hint="eastAsia" w:ascii="Times New Roman" w:hAnsi="Times New Roman" w:eastAsia="宋体" w:cs="Times New Roman"/>
          <w:sz w:val="24"/>
          <w:szCs w:val="24"/>
          <w:highlight w:val="none"/>
        </w:rPr>
        <w:t>投资者</w:t>
      </w:r>
      <w:r>
        <w:rPr>
          <w:rFonts w:hint="eastAsia" w:ascii="Times New Roman" w:hAnsi="Times New Roman" w:eastAsia="宋体" w:cs="Times New Roman"/>
          <w:sz w:val="24"/>
          <w:szCs w:val="24"/>
          <w:highlight w:val="none"/>
          <w:lang w:val="en-US" w:eastAsia="zh-CN"/>
        </w:rPr>
        <w:t>超550</w:t>
      </w:r>
      <w:r>
        <w:rPr>
          <w:rFonts w:hint="eastAsia" w:ascii="Times New Roman" w:hAnsi="Times New Roman" w:eastAsia="宋体" w:cs="Times New Roman"/>
          <w:color w:val="000000"/>
          <w:sz w:val="24"/>
          <w:szCs w:val="24"/>
          <w:highlight w:val="none"/>
        </w:rPr>
        <w:t>人次。</w:t>
      </w:r>
    </w:p>
    <w:p>
      <w:pPr>
        <w:numPr>
          <w:ilvl w:val="0"/>
          <w:numId w:val="1"/>
        </w:numPr>
        <w:spacing w:before="156" w:beforeLines="50" w:after="156" w:afterLines="50" w:line="360" w:lineRule="auto"/>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会议交流主要内容</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w:t>
      </w:r>
      <w:r>
        <w:rPr>
          <w:rFonts w:hint="eastAsia" w:ascii="Times New Roman" w:hAnsi="Times New Roman" w:eastAsia="宋体" w:cs="Times New Roman"/>
          <w:b/>
          <w:bCs/>
          <w:color w:val="000000"/>
          <w:kern w:val="0"/>
          <w:sz w:val="24"/>
          <w:szCs w:val="24"/>
          <w:lang w:eastAsia="zh-CN"/>
        </w:rPr>
        <w:t>：</w:t>
      </w:r>
      <w:r>
        <w:rPr>
          <w:rFonts w:hint="eastAsia" w:ascii="Times New Roman" w:hAnsi="Times New Roman" w:eastAsia="宋体" w:cs="Times New Roman"/>
          <w:b/>
          <w:bCs/>
          <w:color w:val="000000"/>
          <w:kern w:val="0"/>
          <w:sz w:val="24"/>
          <w:szCs w:val="24"/>
          <w:lang w:val="en-US" w:eastAsia="zh-CN"/>
        </w:rPr>
        <w:t>公司是否为“深海科技”相关企业？</w:t>
      </w:r>
    </w:p>
    <w:p>
      <w:pPr>
        <w:spacing w:before="156" w:beforeLines="50" w:after="156" w:afterLines="5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宋体" w:hAnsi="宋体" w:eastAsia="宋体"/>
          <w:sz w:val="24"/>
          <w:szCs w:val="24"/>
        </w:rPr>
        <w:t>公司是深海科技的典型代表。在“新基建”“海洋经济”等背景下，面对海上风电全生命周期的运营需求，公司拥有完善海上风电和海洋油气系统解决方案及服务能力，形成了从海底电缆研发制造、敷设、风机基础施工、风机安装到风场运维的海上风电场运营完整产业链。同时，公司持续加大对海洋通信领域的技术研发与产业布局，拥有海底光缆、海底接驳盒、中继器、分支器研发生产制造、跨洋通信网络系统解决方案提供以及跨洋通信网络系统建设全产业链，是全球前四具备成熟的跨洋洲际海底光缆通信网络综合解决方案能力和万公里级超长距海底光缆系统项目交付经验的唯一中国企业。</w:t>
      </w:r>
    </w:p>
    <w:p>
      <w:pPr>
        <w:spacing w:before="156" w:beforeLines="50" w:after="156" w:afterLines="50" w:line="360" w:lineRule="auto"/>
        <w:ind w:firstLine="482" w:firstLineChars="200"/>
        <w:jc w:val="both"/>
        <w:rPr>
          <w:rFonts w:hint="eastAsia"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en-US" w:eastAsia="zh-CN"/>
        </w:rPr>
        <w:t>问题：请具体说明</w:t>
      </w:r>
      <w:r>
        <w:rPr>
          <w:rFonts w:hint="eastAsia" w:ascii="Times New Roman" w:hAnsi="Times New Roman" w:eastAsia="宋体" w:cs="Times New Roman"/>
          <w:b/>
          <w:bCs/>
          <w:color w:val="000000"/>
          <w:kern w:val="0"/>
          <w:sz w:val="24"/>
          <w:szCs w:val="24"/>
        </w:rPr>
        <w:t>公司</w:t>
      </w:r>
      <w:r>
        <w:rPr>
          <w:rFonts w:hint="eastAsia" w:ascii="Times New Roman" w:hAnsi="Times New Roman" w:eastAsia="宋体" w:cs="Times New Roman"/>
          <w:b/>
          <w:bCs/>
          <w:color w:val="000000"/>
          <w:kern w:val="0"/>
          <w:sz w:val="24"/>
          <w:szCs w:val="24"/>
          <w:lang w:val="en-US" w:eastAsia="zh-CN"/>
        </w:rPr>
        <w:t>的海洋</w:t>
      </w:r>
      <w:r>
        <w:rPr>
          <w:rFonts w:hint="eastAsia" w:ascii="Times New Roman" w:hAnsi="Times New Roman" w:eastAsia="宋体" w:cs="Times New Roman"/>
          <w:b/>
          <w:bCs/>
          <w:color w:val="000000"/>
          <w:kern w:val="0"/>
          <w:sz w:val="24"/>
          <w:szCs w:val="24"/>
        </w:rPr>
        <w:t>通信业务在深海科技方面有哪些竞争优势及布局？</w:t>
      </w:r>
    </w:p>
    <w:p>
      <w:pPr>
        <w:spacing w:before="156" w:beforeLines="50" w:after="156" w:afterLines="5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val="en-US" w:eastAsia="zh-CN"/>
        </w:rPr>
        <w:t>前述已提到，</w:t>
      </w:r>
      <w:r>
        <w:rPr>
          <w:rFonts w:hint="eastAsia" w:ascii="宋体" w:hAnsi="宋体" w:eastAsia="宋体"/>
          <w:sz w:val="24"/>
          <w:szCs w:val="24"/>
        </w:rPr>
        <w:t>公司是全球前四具备成熟的跨洋洲际海底光缆通信网络综合解决方案能力和万公里级超长距海底光缆系统项目交付经验的唯一中国企业。截至目前，</w:t>
      </w:r>
      <w:r>
        <w:rPr>
          <w:rFonts w:hint="eastAsia" w:ascii="宋体" w:hAnsi="宋体" w:eastAsia="宋体"/>
          <w:sz w:val="24"/>
          <w:szCs w:val="24"/>
          <w:lang w:val="en-US" w:eastAsia="zh-CN"/>
        </w:rPr>
        <w:t>公司</w:t>
      </w:r>
      <w:r>
        <w:rPr>
          <w:rFonts w:hint="eastAsia" w:ascii="宋体" w:hAnsi="宋体" w:eastAsia="宋体"/>
          <w:sz w:val="24"/>
          <w:szCs w:val="24"/>
        </w:rPr>
        <w:t>全球海底光缆签约交付里程数已累计突破108,000公里。2025年政府工作报告首次将深海科技正式列入国家未来产业发展重点。公司提供全球领先的高可靠性、高灵活度、高性价比、一站式端到端海底通信系统解决方案，持续突破海底光缆通信领域核心技术，助力建设通达全球的海洋国际通信骨干网络，推动全球数字经济可持续发展；主要业务场景包括新建海底光缆通信系统、油气平台海缆通信系统和综合海底科学观测网等。在全球5G热潮、数字化转型进程不断加速、人工智能AI技术场景发展等的促使下，预计国际带宽时长需求将持续增长，同时对传输速度将提出更高的要求。公司将继续把握海洋经济开发机遇期，持续加大在海洋通信领域的技术研发与产业布局。</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w:t>
      </w:r>
      <w:r>
        <w:rPr>
          <w:rFonts w:hint="eastAsia" w:ascii="Times New Roman" w:hAnsi="Times New Roman" w:eastAsia="宋体" w:cs="Times New Roman"/>
          <w:b/>
          <w:bCs/>
          <w:color w:val="000000"/>
          <w:kern w:val="0"/>
          <w:sz w:val="24"/>
          <w:szCs w:val="24"/>
          <w:lang w:val="en-US" w:eastAsia="zh-CN"/>
        </w:rPr>
        <w:t>公司前三季度经营情况如何？</w:t>
      </w:r>
    </w:p>
    <w:p>
      <w:pPr>
        <w:spacing w:before="156" w:beforeLines="50" w:after="156" w:afterLines="50" w:line="360" w:lineRule="auto"/>
        <w:ind w:firstLine="480" w:firstLineChars="200"/>
        <w:rPr>
          <w:rFonts w:hint="eastAsia" w:ascii="Times New Roman" w:hAnsi="Times New Roman" w:eastAsia="宋体" w:cs="Times New Roman"/>
          <w:color w:val="000000"/>
          <w:kern w:val="0"/>
          <w:sz w:val="24"/>
          <w:szCs w:val="24"/>
          <w:lang w:val="en-US" w:eastAsia="zh-CN"/>
        </w:rPr>
      </w:pPr>
      <w:r>
        <w:rPr>
          <w:rFonts w:hint="eastAsia" w:ascii="宋体" w:hAnsi="宋体" w:eastAsia="宋体"/>
          <w:sz w:val="24"/>
          <w:szCs w:val="24"/>
          <w:lang w:eastAsia="zh-CN"/>
        </w:rPr>
        <w:t>答：</w:t>
      </w:r>
      <w:r>
        <w:rPr>
          <w:rFonts w:hint="eastAsia" w:ascii="Times New Roman" w:hAnsi="Times New Roman" w:eastAsia="宋体" w:cs="Times New Roman"/>
          <w:color w:val="000000"/>
          <w:kern w:val="0"/>
          <w:sz w:val="24"/>
          <w:szCs w:val="24"/>
          <w:lang w:val="en-US" w:eastAsia="zh-CN"/>
        </w:rPr>
        <w:t>公司始终专注于在通信和能源两大领域为客户创造价值，提供行业领先的光通信、智能电网、工业与新能源、海洋能源、海洋通信等产品与解决方案，是深海科技和智算互联的典型代表。2025年前三季度，在“新基建”“碳达峰、碳中和”“海洋经济”等背景下，特高压建设、电网数字化智能化升级、新能源基础建设以及海洋能源与海洋通信产业稳步发展，公司持续优化战略布局，积极把握市场机遇，带动公司海洋能源与通信、特高压及电网智能化、工业与新能源业务保持稳步增长，市场综合竞争力进一步提升；此外，能源传输材料铜导体产能较去年同期有所提升，带动其业务增长。同时，公司进一步加强对通信和能源领域核心产品技术研发及成本管控，优化运营效率。2025年前三季度，公司实现营业收入496.21亿元，同比增长17.03%；实现归属于上市公司股东的净利润23.76亿元，同比增长2.64%；实现归属于上市公司股东的扣除非经常性损益的净利润23.40亿元，同比增长5.97%。</w:t>
      </w:r>
    </w:p>
    <w:p>
      <w:pPr>
        <w:spacing w:before="156" w:beforeLines="50" w:after="156" w:afterLines="50" w:line="360" w:lineRule="auto"/>
        <w:ind w:firstLine="482" w:firstLineChars="200"/>
        <w:rPr>
          <w:rFonts w:hint="default" w:ascii="宋体" w:hAnsi="宋体" w:eastAsia="宋体"/>
          <w:sz w:val="24"/>
          <w:szCs w:val="24"/>
          <w:lang w:val="en-US" w:eastAsia="zh-CN"/>
        </w:rPr>
      </w:pPr>
      <w:r>
        <w:rPr>
          <w:rFonts w:hint="eastAsia" w:ascii="Times New Roman" w:hAnsi="Times New Roman" w:eastAsia="宋体" w:cs="Times New Roman"/>
          <w:b/>
          <w:bCs/>
          <w:color w:val="000000"/>
          <w:kern w:val="0"/>
          <w:sz w:val="24"/>
          <w:szCs w:val="24"/>
          <w:lang w:val="en-US" w:eastAsia="zh-CN"/>
        </w:rPr>
        <w:t>问题：公司毛利率能否改善？</w:t>
      </w:r>
    </w:p>
    <w:p>
      <w:pPr>
        <w:spacing w:before="156" w:beforeLines="50" w:after="156" w:afterLines="5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答：</w:t>
      </w:r>
      <w:r>
        <w:rPr>
          <w:rFonts w:hint="eastAsia" w:ascii="宋体" w:hAnsi="宋体" w:eastAsia="宋体"/>
          <w:sz w:val="24"/>
          <w:szCs w:val="24"/>
          <w:lang w:eastAsia="zh-CN"/>
        </w:rPr>
        <w:t>2025年前三季度，公司毛利率下降主要受营业成本同比增加以及公司盈利能力较低的能源传输材料铜导体产能较去年同期有所提升。未来公司将持续优化产品结构，逐步提升高毛利产品业务的占比，并加强对通信和能源领域核心产品技术研发及成本管控，持续推动公司盈利能力提升。</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w:t>
      </w:r>
      <w:r>
        <w:rPr>
          <w:rFonts w:hint="eastAsia" w:ascii="Times New Roman" w:hAnsi="Times New Roman" w:eastAsia="宋体" w:cs="Times New Roman"/>
          <w:b/>
          <w:bCs/>
          <w:color w:val="000000"/>
          <w:kern w:val="0"/>
          <w:sz w:val="24"/>
          <w:szCs w:val="24"/>
          <w:lang w:val="en-US" w:eastAsia="zh-CN"/>
        </w:rPr>
        <w:t>请介绍下公司近期在手订单情况。</w:t>
      </w:r>
    </w:p>
    <w:p>
      <w:pPr>
        <w:spacing w:before="156" w:beforeLines="50" w:after="156" w:afterLines="50" w:line="360" w:lineRule="auto"/>
        <w:ind w:firstLine="480" w:firstLineChars="200"/>
        <w:rPr>
          <w:rFonts w:hint="eastAsia" w:ascii="Times New Roman" w:hAnsi="Times New Roman" w:eastAsia="宋体" w:cs="Times New Roman"/>
          <w:color w:val="000000"/>
          <w:kern w:val="0"/>
          <w:sz w:val="24"/>
          <w:szCs w:val="24"/>
        </w:rPr>
      </w:pPr>
      <w:r>
        <w:rPr>
          <w:rFonts w:hint="eastAsia" w:ascii="宋体" w:hAnsi="宋体" w:eastAsia="宋体"/>
          <w:sz w:val="24"/>
          <w:szCs w:val="24"/>
          <w:lang w:eastAsia="zh-CN"/>
        </w:rPr>
        <w:t>答：截至公司第三季度报告披露日，公司拥有海底电缆、海洋工程及陆缆产品等能源互联领域在手订单金额约200亿元，拥有海洋通信业务相关在手订单金额约70亿元。公司今年以来在海洋能源领域累计公告中标金额超45亿元，同比大幅增长；海洋通信领域在手订单也有稳步提升。未来，公司将不断提供具备强竞争力的产品和服务，继续致力于通信网络和能源互联领域市场竞争力的提升，服务于国家深海科技和智算互联的发展。</w:t>
      </w:r>
    </w:p>
    <w:p>
      <w:pPr>
        <w:spacing w:before="156" w:beforeLines="50" w:after="156" w:afterLines="50" w:line="360" w:lineRule="auto"/>
        <w:ind w:firstLine="482" w:firstLineChars="200"/>
        <w:rPr>
          <w:rFonts w:hint="default" w:ascii="Times New Roman" w:hAnsi="Times New Roman" w:eastAsia="宋体" w:cs="Times New Roman"/>
          <w:b/>
          <w:bCs/>
          <w:color w:val="000000"/>
          <w:kern w:val="0"/>
          <w:sz w:val="24"/>
          <w:szCs w:val="24"/>
          <w:highlight w:val="none"/>
          <w:lang w:val="en-US" w:eastAsia="zh-CN"/>
        </w:rPr>
      </w:pPr>
      <w:r>
        <w:rPr>
          <w:rFonts w:hint="eastAsia" w:ascii="Times New Roman" w:hAnsi="Times New Roman" w:eastAsia="宋体" w:cs="Times New Roman"/>
          <w:b/>
          <w:bCs/>
          <w:color w:val="000000"/>
          <w:kern w:val="0"/>
          <w:sz w:val="24"/>
          <w:szCs w:val="24"/>
          <w:highlight w:val="none"/>
          <w:lang w:eastAsia="zh-CN"/>
        </w:rPr>
        <w:t>问题：公司空芯光纤</w:t>
      </w:r>
      <w:r>
        <w:rPr>
          <w:rFonts w:hint="eastAsia" w:ascii="Times New Roman" w:hAnsi="Times New Roman" w:eastAsia="宋体" w:cs="Times New Roman"/>
          <w:b/>
          <w:bCs/>
          <w:color w:val="000000"/>
          <w:kern w:val="0"/>
          <w:sz w:val="24"/>
          <w:szCs w:val="24"/>
          <w:highlight w:val="none"/>
          <w:lang w:val="en-US" w:eastAsia="zh-CN"/>
        </w:rPr>
        <w:t>的技术水平如何，商业化进程如何？</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宋体" w:hAnsi="宋体" w:eastAsia="宋体"/>
          <w:sz w:val="24"/>
          <w:szCs w:val="24"/>
        </w:rPr>
        <w:t>2025年7月，公司空芯反谐振光纤已亮相，在特定波段实现损耗≤0.2dB/km，达到国际先进水平损耗值，自主创新突破了全链条核心制备技术体系，具备批量交付能力。目前，衰减损耗值正进一步下降，技术进步速度较快。2025年，公司AI先进光纤材料研发制造中心扩产项目正式投入建设，计划2026年2月竣工；一期投资将新增多条工艺线、检测线及公辅等先进设备用于超低损空芯光纤、超低损多芯光纤和高性能多波段多模光纤等特种光纤的制造生产，持续提升规模化交付能力。近日，公司与中国联通联合部署，成功开通并投入运营中国联通首条商用空芯光纤光缆线路。未来公司将持续推动空芯光纤的规模化应用进程。</w:t>
      </w:r>
    </w:p>
    <w:p>
      <w:pPr>
        <w:spacing w:before="156" w:beforeLines="50" w:after="156" w:afterLines="50" w:line="360" w:lineRule="auto"/>
        <w:ind w:firstLine="482" w:firstLineChars="200"/>
        <w:jc w:val="both"/>
        <w:rPr>
          <w:rFonts w:hint="eastAsia"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en-US" w:eastAsia="zh-CN"/>
        </w:rPr>
        <w:t>问题：除空芯光纤外，</w:t>
      </w:r>
      <w:r>
        <w:rPr>
          <w:rFonts w:hint="eastAsia" w:ascii="Times New Roman" w:hAnsi="Times New Roman" w:eastAsia="宋体" w:cs="Times New Roman"/>
          <w:b/>
          <w:bCs/>
          <w:color w:val="000000"/>
          <w:kern w:val="0"/>
          <w:sz w:val="24"/>
          <w:szCs w:val="24"/>
        </w:rPr>
        <w:t>公司</w:t>
      </w:r>
      <w:r>
        <w:rPr>
          <w:rFonts w:hint="eastAsia" w:ascii="Times New Roman" w:hAnsi="Times New Roman" w:eastAsia="宋体" w:cs="Times New Roman"/>
          <w:b/>
          <w:bCs/>
          <w:color w:val="000000"/>
          <w:kern w:val="0"/>
          <w:sz w:val="24"/>
          <w:szCs w:val="24"/>
          <w:lang w:val="en-US" w:eastAsia="zh-CN"/>
        </w:rPr>
        <w:t>光通信</w:t>
      </w:r>
      <w:r>
        <w:rPr>
          <w:rFonts w:hint="eastAsia" w:ascii="Times New Roman" w:hAnsi="Times New Roman" w:eastAsia="宋体" w:cs="Times New Roman"/>
          <w:b/>
          <w:bCs/>
          <w:color w:val="000000"/>
          <w:kern w:val="0"/>
          <w:sz w:val="24"/>
          <w:szCs w:val="24"/>
        </w:rPr>
        <w:t>业务今年发展情况如何？</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答:2025年公司继续依托自主研发的全球领先绿色光棒生产技术及智能制造技术，不断提升产品质量，发挥环保与质量的综合优势；加强光通信板块成本管控，打造行业成本优势；进一步夯实棒纤缆技术，加快光通信技术迭代升级和产品业务结构优化，推进在超低损耗光纤、海洋光纤、传能光纤、大带宽多模光纤、少模光纤、多芯光纤、空芯光纤等高端产品、特种产品的研发和市场成果转化。“高稳定极温环境用抗弯低损耗光纤”被列入“2025年江苏省‘三首两新’”拟认定技术产品名单。在超低损耗光纤领域，公司瞄准数据中心高速互联和国家干线网络传输战略需求，搭建新一代超低损耗光纤制备平台；G.654.E光纤衰减水平行业领先，已广泛应用于运营商以及高速铁路通信网络工程。亨通超低损耗大有效面积G.654.E光纤损耗系数极低，是高速率、超大容量、超长距离干线传输的理想选择；目前，公司实现了从实验室创新到百万芯公里级商用的跨越，产品已应用于全国近二十个国家算力枢纽节点建设。在海洋光纤领域，公司海洋通信用超低损耗光纤系列产品包括面向深远海信息传输的超低损耗G.654.D海洋光纤、超低损耗多芯光纤、抗弯曲低损耗BL光纤。高可靠G.654.D海洋光纤衰减水平达到国际先进、国内领先水平，并通过国际海洋专家审核认证，刷新了无中继传输纪录。超低损耗多芯光纤实现双芯、四芯结构，兼具低串扰、低衰减和大有效面积特性；其中，四芯产品已通过权威海试认证。抗弯曲低损耗BL光纤适用场景则覆盖从海底干线到光纤入户的全频谱需求。这些产品以行业领先的衰减控制和稳定运行保障，为深远海通信系统建设提供全场景解决方案。2025年，公司进一步突破超细直径光纤核心技术，成功研发165μm细径超抗弯系列光纤；该款光纤具备优异的抗弯曲特性与深海级环境适应性。在高性能多模光纤领域，基于公司自主开发的先进多模制棒工艺平台和特殊掺杂技术，亨通多模光纤已广泛应用于大中型数据中心项目，可满足高性能数据中心多模高速连接。</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问题：光纤一般工作年限多少？</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宋体" w:hAnsi="宋体" w:eastAsia="宋体"/>
          <w:sz w:val="24"/>
          <w:szCs w:val="24"/>
        </w:rPr>
        <w:t>根据国际电工委员会（IEC 60793-2-50）和电信工业协会（TIA-568.3-D）标准，单模光纤的典型设计寿命为25-30年，多模光纤为15-20年。</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w:t>
      </w:r>
      <w:r>
        <w:rPr>
          <w:rFonts w:hint="eastAsia" w:ascii="Times New Roman" w:hAnsi="Times New Roman" w:eastAsia="宋体" w:cs="Times New Roman"/>
          <w:b/>
          <w:bCs/>
          <w:color w:val="000000"/>
          <w:kern w:val="0"/>
          <w:sz w:val="24"/>
          <w:szCs w:val="24"/>
          <w:lang w:val="en-US" w:eastAsia="zh-CN"/>
        </w:rPr>
        <w:t>请介绍下公司光模块产品，以及未来规划。</w:t>
      </w:r>
    </w:p>
    <w:p>
      <w:pPr>
        <w:spacing w:before="156" w:beforeLines="50" w:after="156" w:afterLines="5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宋体" w:hAnsi="宋体" w:eastAsia="宋体"/>
          <w:sz w:val="24"/>
          <w:szCs w:val="24"/>
        </w:rPr>
        <w:t>公司紧紧围绕无线前传、宽带 PON 接入、算力中心建设等发展方向，致力于光模块及光互联综合解决方案的开发与制造</w:t>
      </w:r>
      <w:r>
        <w:rPr>
          <w:rFonts w:hint="eastAsia" w:ascii="宋体" w:hAnsi="宋体" w:eastAsia="宋体"/>
          <w:sz w:val="24"/>
          <w:szCs w:val="24"/>
          <w:lang w:eastAsia="zh-CN"/>
        </w:rPr>
        <w:t>。</w:t>
      </w:r>
      <w:r>
        <w:rPr>
          <w:rFonts w:hint="eastAsia" w:ascii="宋体" w:hAnsi="宋体" w:eastAsia="宋体"/>
          <w:sz w:val="24"/>
          <w:szCs w:val="24"/>
        </w:rPr>
        <w:t>面向无线前传应用场景，可提供全系列的 10G/25G/50G CWDM 彩光模块以及 BIDI 模块产品解决方案；面向政企网络应用场景，可提供基于彩光架构的全系列1.25G/3.125G/10G/25G/50GCWDM 模块产品解决方案以及基于 PON 架构的GPON/ XGSPON OLT 局端光模块以及 GPON/XGSPON ONU Stick 与Micro ONU接入光模块产品解决方案；面向宽带PON接入应用场景，可提供 GPON/XGPON/XGSPON COMBO PON OLT 模块产品解决方案，同时在下一代 50G PON“万兆光网”应用领域，发布了50G COMBO PON OLT非对称光模块，该产品采用小型化混合封装光器件设计，可完全满足 SFP-DD 标准封装要求，开启了公司在50G PON OLT光模块解决方案的布局；面向算力中心应用场景，可提供从10G 到 400G全系列AOC产品以及高速光模块产品。同时公司也在积极布局CPO先进封装能力迎接下一代高速光互联产品。</w:t>
      </w:r>
    </w:p>
    <w:p>
      <w:pPr>
        <w:spacing w:before="156" w:beforeLines="50" w:after="156" w:afterLines="50" w:line="360" w:lineRule="auto"/>
        <w:ind w:firstLine="48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问题：请介绍一下公司在</w:t>
      </w:r>
      <w:r>
        <w:rPr>
          <w:rFonts w:hint="eastAsia" w:ascii="Times New Roman" w:hAnsi="Times New Roman" w:eastAsia="宋体" w:cs="Times New Roman"/>
          <w:b/>
          <w:bCs/>
          <w:color w:val="000000"/>
          <w:kern w:val="0"/>
          <w:sz w:val="24"/>
          <w:szCs w:val="24"/>
          <w:lang w:eastAsia="zh-CN"/>
        </w:rPr>
        <w:t>量子通信</w:t>
      </w:r>
      <w:r>
        <w:rPr>
          <w:rFonts w:hint="eastAsia" w:ascii="Times New Roman" w:hAnsi="Times New Roman" w:eastAsia="宋体" w:cs="Times New Roman"/>
          <w:b/>
          <w:bCs/>
          <w:color w:val="000000"/>
          <w:kern w:val="0"/>
          <w:sz w:val="24"/>
          <w:szCs w:val="24"/>
        </w:rPr>
        <w:t>领域的布局</w:t>
      </w:r>
      <w:r>
        <w:rPr>
          <w:rFonts w:hint="eastAsia" w:ascii="Times New Roman" w:hAnsi="Times New Roman" w:eastAsia="宋体" w:cs="Times New Roman"/>
          <w:b/>
          <w:bCs/>
          <w:color w:val="000000"/>
          <w:kern w:val="0"/>
          <w:sz w:val="24"/>
          <w:szCs w:val="24"/>
          <w:lang w:eastAsia="zh-CN"/>
        </w:rPr>
        <w:t>。</w:t>
      </w:r>
    </w:p>
    <w:p>
      <w:pPr>
        <w:spacing w:before="156" w:beforeLines="50" w:after="156" w:afterLines="50" w:line="360" w:lineRule="auto"/>
        <w:ind w:firstLine="480" w:firstLineChars="200"/>
        <w:jc w:val="both"/>
        <w:rPr>
          <w:rFonts w:hint="eastAsia" w:ascii="宋体" w:hAnsi="宋体" w:eastAsia="宋体"/>
          <w:sz w:val="24"/>
          <w:szCs w:val="24"/>
          <w:highlight w:val="yellow"/>
          <w:lang w:eastAsia="zh-CN"/>
        </w:rPr>
      </w:pPr>
      <w:r>
        <w:rPr>
          <w:rFonts w:hint="eastAsia" w:ascii="宋体" w:hAnsi="宋体" w:eastAsia="宋体"/>
          <w:sz w:val="24"/>
          <w:szCs w:val="24"/>
          <w:lang w:eastAsia="zh-CN"/>
        </w:rPr>
        <w:t>答：亨通光电与安徽问天量子科技股份有限公司共同投资设立江苏亨通问天量子信息研究院有限公司，旨在推动量子通信技术的研究与产业化。我们在量子通信技术方面拥有多项发明专利，包括量子保密通信组网方案、量子密钥应用技术、量子加密终端等。我们承建了江苏省宁苏量子干线建设工程项目，该项目是江苏省首条量子通信干线；与中国联通共同建设北京-雄安量子干线，构建了量子保密通信实验、商用的基础网络平台。</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问题：公司首创</w:t>
      </w:r>
      <w:r>
        <w:rPr>
          <w:rFonts w:hint="eastAsia" w:ascii="Times New Roman" w:hAnsi="Times New Roman" w:eastAsia="宋体" w:cs="Times New Roman"/>
          <w:b/>
          <w:bCs/>
          <w:color w:val="000000"/>
          <w:kern w:val="0"/>
          <w:sz w:val="24"/>
          <w:szCs w:val="24"/>
        </w:rPr>
        <w:t>10G TSN PON的车载全光系统</w:t>
      </w:r>
      <w:r>
        <w:rPr>
          <w:rFonts w:hint="eastAsia" w:ascii="Times New Roman" w:hAnsi="Times New Roman" w:eastAsia="宋体" w:cs="Times New Roman"/>
          <w:b/>
          <w:bCs/>
          <w:color w:val="000000"/>
          <w:kern w:val="0"/>
          <w:sz w:val="24"/>
          <w:szCs w:val="24"/>
          <w:lang w:val="en-US" w:eastAsia="zh-CN"/>
        </w:rPr>
        <w:t>发展前景如何？</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eastAsia="zh-CN"/>
        </w:rPr>
        <w:t>答:公司成功研发国内首个基于10G TSN PON的车载全光演示验证系统。目前，公司正联合专业研究机构、主流整车厂及产业合作伙伴，加速推进高级自动物流车实车测试与乘用车台架测试，全力推动 FTTV（基于 PON 的车载应用系统）技术走向成熟普及。</w:t>
      </w:r>
    </w:p>
    <w:p>
      <w:pPr>
        <w:spacing w:before="156" w:beforeLines="50" w:line="360" w:lineRule="auto"/>
        <w:ind w:firstLine="482" w:firstLineChars="20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问题：</w:t>
      </w:r>
      <w:bookmarkStart w:id="0" w:name="_GoBack"/>
      <w:bookmarkEnd w:id="0"/>
      <w:r>
        <w:rPr>
          <w:rFonts w:hint="eastAsia" w:ascii="Times New Roman" w:hAnsi="Times New Roman" w:eastAsia="宋体" w:cs="Times New Roman"/>
          <w:b/>
          <w:bCs/>
          <w:color w:val="000000"/>
          <w:kern w:val="0"/>
          <w:sz w:val="24"/>
          <w:szCs w:val="24"/>
          <w:lang w:val="en-US" w:eastAsia="zh-CN"/>
        </w:rPr>
        <w:t>公司液冷产品相对市面液冷产品有何优势？</w:t>
      </w:r>
    </w:p>
    <w:p>
      <w:pPr>
        <w:spacing w:before="156" w:beforeLines="5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答：公</w:t>
      </w:r>
      <w:r>
        <w:rPr>
          <w:rFonts w:hint="eastAsia" w:ascii="宋体" w:hAnsi="宋体" w:eastAsia="宋体"/>
          <w:sz w:val="24"/>
          <w:szCs w:val="24"/>
          <w:lang w:eastAsia="zh-CN"/>
        </w:rPr>
        <w:t>司与行业合作伙伴联合打造的高密度计算场景——新一代浸没式液冷解决方案发布；新产品集快速部署、高效散热、超静音运行、即装即用于一体，满足中小型企业对边缘算力的服务需求。公司推出的浸没式液冷一体机契合了未来超大规模数据中心、人工智能计算中心、边缘计算节点等高热密度、高能效比场景的需求，以期共同构建更高效、更绿色、更可持续的数据中心基础设施生态。目前公司正在推进商业化应用，具体情况请关注后续相关公告。</w:t>
      </w:r>
    </w:p>
    <w:p>
      <w:pPr>
        <w:spacing w:before="156" w:beforeLines="50" w:line="360" w:lineRule="auto"/>
        <w:ind w:firstLine="482" w:firstLineChars="20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问题：今年铜价上涨对公司业绩影响有多大？公司采取了哪些应对措施？</w:t>
      </w:r>
    </w:p>
    <w:p>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答：为减少因原材料价格波动造成的产品成本波动，保证产品毛利的相对稳定，降低原材料价格波动对公司正常经营的影响，公司对铜等大宗商品采用套期保值的方式。因此铜价变动对经营业绩和毛利率影响不大。</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firstLine="482" w:firstLineChars="200"/>
        <w:textAlignment w:val="auto"/>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问题：请介绍一下公司通信与电力互联网双轮驱动战略，这两个方面在国内上市公司的地位和优势</w:t>
      </w:r>
      <w:r>
        <w:rPr>
          <w:rFonts w:hint="eastAsia" w:ascii="Times New Roman" w:hAnsi="Times New Roman" w:eastAsia="宋体" w:cs="Times New Roman"/>
          <w:b/>
          <w:bCs/>
          <w:color w:val="000000"/>
          <w:kern w:val="0"/>
          <w:sz w:val="24"/>
          <w:szCs w:val="24"/>
          <w:lang w:eastAsia="zh-CN"/>
        </w:rPr>
        <w:t>。</w:t>
      </w:r>
    </w:p>
    <w:p>
      <w:pPr>
        <w:spacing w:before="156" w:beforeLines="50" w:line="360" w:lineRule="auto"/>
        <w:ind w:firstLine="480" w:firstLineChars="200"/>
        <w:rPr>
          <w:rFonts w:hint="eastAsia" w:ascii="宋体" w:hAnsi="宋体" w:eastAsia="宋体"/>
          <w:sz w:val="24"/>
          <w:szCs w:val="24"/>
        </w:rPr>
      </w:pPr>
      <w:r>
        <w:rPr>
          <w:rFonts w:hint="eastAsia" w:ascii="宋体" w:hAnsi="宋体" w:cs="宋体"/>
          <w:color w:val="000000"/>
          <w:kern w:val="0"/>
          <w:sz w:val="24"/>
          <w:lang w:val="en-US" w:eastAsia="zh-CN"/>
        </w:rPr>
        <w:t>答：</w:t>
      </w:r>
      <w:r>
        <w:rPr>
          <w:rFonts w:hint="eastAsia" w:ascii="宋体" w:hAnsi="宋体" w:eastAsia="宋体"/>
          <w:sz w:val="24"/>
          <w:szCs w:val="24"/>
        </w:rPr>
        <w:t>公司持续通信和能源两大核心产业的战略投入，提供行业领先的光通信、智能电网、海洋能源、海洋通信、工业与新能源等产品与解决方案，目前已发展成为全球领先的信息与能源互联解决方案服务商，是深海科技和智算互联的典型代表。在《2024年全球线缆最具竞争力企业10强》《2024年全球海缆最具竞争力企业10强》和《2024年全球光纤光缆最具竞争力企业10强》榜单中，亨通位列全球线缆、全球海缆、全球光纤光缆前三强。公司成功入选世界经济论坛（WEF）全球“灯塔工厂”名单，系全球光通信行业首家入选的企业。</w:t>
      </w:r>
    </w:p>
    <w:p>
      <w:pPr>
        <w:spacing w:before="156" w:beforeLines="50" w:line="360" w:lineRule="auto"/>
        <w:ind w:firstLine="482" w:firstLineChars="200"/>
        <w:rPr>
          <w:rFonts w:hint="eastAsia"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en-US" w:eastAsia="zh-CN"/>
        </w:rPr>
        <w:t>问题：请具体介绍下</w:t>
      </w:r>
      <w:r>
        <w:rPr>
          <w:rFonts w:hint="eastAsia" w:ascii="Times New Roman" w:hAnsi="Times New Roman" w:eastAsia="宋体" w:cs="Times New Roman"/>
          <w:b/>
          <w:bCs/>
          <w:color w:val="000000"/>
          <w:kern w:val="0"/>
          <w:sz w:val="24"/>
          <w:szCs w:val="24"/>
        </w:rPr>
        <w:t>公司</w:t>
      </w:r>
      <w:r>
        <w:rPr>
          <w:rFonts w:hint="eastAsia" w:ascii="Times New Roman" w:hAnsi="Times New Roman" w:eastAsia="宋体" w:cs="Times New Roman"/>
          <w:b/>
          <w:bCs/>
          <w:color w:val="000000"/>
          <w:kern w:val="0"/>
          <w:sz w:val="24"/>
          <w:szCs w:val="24"/>
          <w:lang w:val="en-US" w:eastAsia="zh-CN"/>
        </w:rPr>
        <w:t>在海洋能源领域的最新进展。</w:t>
      </w:r>
    </w:p>
    <w:p>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答:近期，公司</w:t>
      </w:r>
      <w:r>
        <w:rPr>
          <w:rFonts w:hint="eastAsia" w:ascii="宋体" w:hAnsi="宋体" w:eastAsia="宋体"/>
          <w:sz w:val="24"/>
          <w:szCs w:val="24"/>
          <w:lang w:val="en-US" w:eastAsia="zh-CN"/>
        </w:rPr>
        <w:t>又</w:t>
      </w:r>
      <w:r>
        <w:rPr>
          <w:rFonts w:hint="eastAsia" w:ascii="宋体" w:hAnsi="宋体" w:eastAsia="宋体"/>
          <w:sz w:val="24"/>
          <w:szCs w:val="24"/>
        </w:rPr>
        <w:t>成功中标中国辽宁丹东东港一期100万千瓦海上风电项目，中标金额超17亿元</w:t>
      </w:r>
      <w:r>
        <w:rPr>
          <w:rFonts w:hint="eastAsia" w:ascii="宋体" w:hAnsi="宋体" w:eastAsia="宋体"/>
          <w:sz w:val="24"/>
          <w:szCs w:val="24"/>
          <w:lang w:eastAsia="zh-CN"/>
        </w:rPr>
        <w:t>；</w:t>
      </w:r>
      <w:r>
        <w:rPr>
          <w:rFonts w:hint="eastAsia" w:ascii="宋体" w:hAnsi="宋体" w:eastAsia="宋体"/>
          <w:sz w:val="24"/>
          <w:szCs w:val="24"/>
        </w:rPr>
        <w:t>将承担±500kV直流海缆、66kV集电海缆的生产、运输和敷设。该项目是中国海上风电领域的一项引领工程，是国内首个采用±500kV直流输出主缆及66kV铝芯分支缆的百万千瓦级深远海风电项目，项目采用的±500kV柔性直流海缆系统代表了当前海上风电输电技术的最高水平；且首次批量采用创新型66kV铝芯分支海缆结构为海上风电海缆选型提供了新的解决方案。根据全球风能理事会GWEC的《2025全球海上风电报告》，预计未来10年（2025—2034年）全球海上风电新增装机容量超350GW。随着海上风电开发逐渐向规模化、深远海发展，超高压柔性直流海缆的需求有望显著提升。未来，公司将不断提供具备强竞争力的产品和服务，继续致力于提升能源互联领域竞争优势，服务于国家深海科技的发展，助力全球能源体系的绿色转型。</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rPr>
        <w:t>问题：</w:t>
      </w:r>
      <w:r>
        <w:rPr>
          <w:rFonts w:hint="eastAsia" w:ascii="Times New Roman" w:hAnsi="Times New Roman" w:eastAsia="宋体" w:cs="Times New Roman"/>
          <w:b/>
          <w:bCs/>
          <w:color w:val="000000"/>
          <w:kern w:val="0"/>
          <w:sz w:val="24"/>
          <w:szCs w:val="24"/>
          <w:lang w:val="en-US" w:eastAsia="zh-CN"/>
        </w:rPr>
        <w:t>公司控股股东增持计划进展如何？</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宋体" w:hAnsi="宋体" w:eastAsia="宋体"/>
          <w:sz w:val="24"/>
          <w:szCs w:val="24"/>
        </w:rPr>
        <w:t>基于对公司未来发展的信心和对公司价值的认可，提振投资者信心，切实维护投资者利益，促进公司持续、稳定、健康发展，公司控股股东亨通集团拟增持公司股份</w:t>
      </w:r>
      <w:r>
        <w:rPr>
          <w:rFonts w:hint="eastAsia" w:ascii="宋体" w:hAnsi="宋体" w:eastAsia="宋体"/>
          <w:sz w:val="24"/>
          <w:szCs w:val="24"/>
          <w:lang w:eastAsia="zh-CN"/>
        </w:rPr>
        <w:t>，</w:t>
      </w:r>
      <w:r>
        <w:rPr>
          <w:rFonts w:ascii="宋体" w:hAnsi="宋体" w:eastAsia="宋体" w:cs="宋体"/>
          <w:sz w:val="24"/>
          <w:szCs w:val="24"/>
        </w:rPr>
        <w:t>增持金额拟不低于1.5亿元(含)、不超过3亿元(含)</w:t>
      </w:r>
      <w:r>
        <w:rPr>
          <w:rFonts w:hint="eastAsia" w:ascii="宋体" w:hAnsi="宋体" w:eastAsia="宋体"/>
          <w:sz w:val="24"/>
          <w:szCs w:val="24"/>
        </w:rPr>
        <w:t>。公司已于2025年4月10日披露《公司关于控股股东增持公司股份计划的公告》。综合考虑市场波动、窗口期、资金安排等因素，亨通集团拟自公告披露之日起12个月内实施增持计划。2025年9月22日，亨通集团通过上海证券交易所交易系统以集中竞价的方式实施了本次增持计划的首次增持,增持公司股份100,000股；截至2025年11月24日，亨通集团</w:t>
      </w:r>
      <w:r>
        <w:rPr>
          <w:rFonts w:hint="eastAsia" w:ascii="宋体" w:hAnsi="宋体" w:eastAsia="宋体"/>
          <w:sz w:val="24"/>
          <w:szCs w:val="24"/>
          <w:lang w:val="en-US" w:eastAsia="zh-CN"/>
        </w:rPr>
        <w:t>已</w:t>
      </w:r>
      <w:r>
        <w:rPr>
          <w:rFonts w:hint="eastAsia" w:ascii="宋体" w:hAnsi="宋体" w:eastAsia="宋体"/>
          <w:sz w:val="24"/>
          <w:szCs w:val="24"/>
        </w:rPr>
        <w:t>累计增持公司股份7,535,573股，增持成交金额15,005.16万元（不含交易费用）</w:t>
      </w:r>
      <w:r>
        <w:rPr>
          <w:rFonts w:hint="eastAsia" w:ascii="宋体" w:hAnsi="宋体" w:eastAsia="宋体"/>
          <w:sz w:val="24"/>
          <w:szCs w:val="24"/>
          <w:lang w:eastAsia="zh-CN"/>
        </w:rPr>
        <w:t>，</w:t>
      </w:r>
      <w:r>
        <w:rPr>
          <w:rFonts w:ascii="宋体" w:hAnsi="宋体" w:eastAsia="宋体" w:cs="宋体"/>
          <w:sz w:val="24"/>
          <w:szCs w:val="24"/>
        </w:rPr>
        <w:t>增持金额已达下限</w:t>
      </w:r>
      <w:r>
        <w:rPr>
          <w:rFonts w:hint="eastAsia" w:ascii="宋体" w:hAnsi="宋体" w:eastAsia="宋体"/>
          <w:sz w:val="24"/>
          <w:szCs w:val="24"/>
        </w:rPr>
        <w:t>。</w:t>
      </w:r>
    </w:p>
    <w:p>
      <w:pPr>
        <w:spacing w:before="156" w:beforeLines="50" w:line="360" w:lineRule="auto"/>
        <w:ind w:firstLine="482" w:firstLineChars="20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问题：请问公司在可持续发展领域有什么进展及成果？</w:t>
      </w:r>
    </w:p>
    <w:p>
      <w:pPr>
        <w:spacing w:before="156" w:beforeLines="5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答：11月，全球最具影响力的可持续发展评价体系之—标普全球企业可持续发展评估（S&amp;P CSA）正式发布最新ESG评估结果，亨通光电以45分的综合表现，领先全球行业标杆。此外，早在今年9月全球领先的投资决策支持机构MSCI公布的最新ESG评级结果中，亨通光电成功实现评级提升，获得“BBB”评级。在行业内，能够跻身MSCI ESG BBB等级的企业屈指可数。公司此次 MSCI ESG 评级的提升及在标普全球企业可持续发展评估（S&amp;P CSA）中综合表现的持续向好，不仅是一张亮眼的“绿色名片”，更是公司在全球舞台上迈向高质量发展的重要里程碑。未来，亨通将继续以“创新驱动、绿色发展”为核心战略，深化绿色低碳治理和供应链责任管理，推动更多前沿技术成果落地，携手合作伙伴共同践行可持续发展理念，努力成为全球信息与能源互联领域值得信赖的行业领军者。</w:t>
      </w:r>
    </w:p>
    <w:p>
      <w:pPr>
        <w:spacing w:before="156" w:beforeLines="50" w:line="360" w:lineRule="auto"/>
        <w:ind w:firstLine="480" w:firstLineChars="200"/>
        <w:rPr>
          <w:rFonts w:hint="eastAsia" w:ascii="宋体" w:hAnsi="宋体" w:eastAsia="宋体"/>
          <w:sz w:val="24"/>
          <w:szCs w:val="24"/>
          <w:lang w:val="en-US" w:eastAsia="zh-CN"/>
        </w:rPr>
      </w:pPr>
    </w:p>
    <w:p>
      <w:pPr>
        <w:spacing w:before="156" w:beforeLines="50" w:line="360" w:lineRule="auto"/>
        <w:ind w:firstLine="480" w:firstLineChars="200"/>
        <w:rPr>
          <w:rFonts w:hint="default" w:ascii="宋体" w:hAnsi="宋体" w:eastAsia="宋体"/>
          <w:sz w:val="24"/>
          <w:szCs w:val="24"/>
          <w:lang w:val="en-US" w:eastAsia="zh-CN"/>
        </w:rPr>
      </w:pPr>
    </w:p>
    <w:p>
      <w:pPr>
        <w:spacing w:line="360" w:lineRule="auto"/>
        <w:ind w:firstLine="480"/>
        <w:jc w:val="right"/>
        <w:rPr>
          <w:rFonts w:hint="eastAsia" w:ascii="宋体" w:hAnsi="宋体" w:cs="宋体"/>
          <w:color w:val="000000"/>
          <w:kern w:val="0"/>
          <w:sz w:val="24"/>
        </w:rPr>
      </w:pPr>
    </w:p>
    <w:p>
      <w:pPr>
        <w:spacing w:line="360" w:lineRule="auto"/>
        <w:ind w:firstLine="480"/>
        <w:jc w:val="right"/>
        <w:rPr>
          <w:rFonts w:ascii="宋体" w:hAnsi="宋体" w:cs="宋体"/>
          <w:color w:val="000000"/>
          <w:kern w:val="0"/>
          <w:sz w:val="24"/>
        </w:rPr>
      </w:pPr>
      <w:r>
        <w:rPr>
          <w:rFonts w:hint="eastAsia" w:ascii="宋体" w:hAnsi="宋体" w:cs="宋体"/>
          <w:color w:val="000000"/>
          <w:kern w:val="0"/>
          <w:sz w:val="24"/>
        </w:rPr>
        <w:t>江苏亨通光电股份有限公司</w:t>
      </w:r>
    </w:p>
    <w:p>
      <w:pPr>
        <w:spacing w:line="360" w:lineRule="auto"/>
        <w:ind w:right="1075" w:rightChars="512" w:firstLine="480"/>
        <w:jc w:val="right"/>
        <w:rPr>
          <w:rFonts w:ascii="宋体" w:hAnsi="宋体" w:cs="宋体"/>
          <w:color w:val="000000"/>
          <w:kern w:val="0"/>
          <w:sz w:val="24"/>
        </w:rPr>
      </w:pPr>
      <w:r>
        <w:rPr>
          <w:rFonts w:hint="eastAsia" w:ascii="宋体" w:hAnsi="宋体" w:cs="宋体"/>
          <w:color w:val="000000"/>
          <w:kern w:val="0"/>
          <w:sz w:val="24"/>
        </w:rPr>
        <w:t>董事会</w:t>
      </w:r>
    </w:p>
    <w:p>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rPr>
        <w:t xml:space="preserve">                                           </w:t>
      </w:r>
      <w:r>
        <w:rPr>
          <w:rFonts w:hint="eastAsia" w:ascii="宋体" w:hAnsi="宋体" w:cs="宋体"/>
          <w:color w:val="000000"/>
          <w:kern w:val="0"/>
          <w:sz w:val="24"/>
          <w:highlight w:val="none"/>
        </w:rPr>
        <w:t xml:space="preserve">   </w:t>
      </w:r>
      <w:r>
        <w:rPr>
          <w:rFonts w:hint="eastAsia" w:ascii="宋体" w:hAnsi="宋体"/>
          <w:sz w:val="24"/>
          <w:highlight w:val="none"/>
        </w:rPr>
        <w:t>二○二</w:t>
      </w:r>
      <w:r>
        <w:rPr>
          <w:rFonts w:hint="eastAsia" w:ascii="宋体" w:hAnsi="宋体"/>
          <w:sz w:val="24"/>
          <w:highlight w:val="none"/>
          <w:lang w:val="en-US" w:eastAsia="zh-CN"/>
        </w:rPr>
        <w:t>五</w:t>
      </w:r>
      <w:r>
        <w:rPr>
          <w:rFonts w:hint="eastAsia" w:ascii="宋体" w:hAnsi="宋体"/>
          <w:sz w:val="24"/>
          <w:highlight w:val="none"/>
        </w:rPr>
        <w:t>年</w:t>
      </w:r>
      <w:r>
        <w:rPr>
          <w:rFonts w:hint="eastAsia" w:ascii="宋体" w:hAnsi="宋体"/>
          <w:sz w:val="24"/>
          <w:highlight w:val="none"/>
          <w:lang w:val="en-US" w:eastAsia="zh-CN"/>
        </w:rPr>
        <w:t>十二</w:t>
      </w:r>
      <w:r>
        <w:rPr>
          <w:rFonts w:hint="eastAsia" w:ascii="宋体" w:hAnsi="宋体"/>
          <w:sz w:val="24"/>
          <w:highlight w:val="none"/>
        </w:rPr>
        <w:t>月</w:t>
      </w:r>
      <w:r>
        <w:rPr>
          <w:rFonts w:hint="eastAsia" w:ascii="宋体" w:hAnsi="宋体"/>
          <w:sz w:val="24"/>
          <w:highlight w:val="none"/>
          <w:lang w:val="en-US" w:eastAsia="zh-CN"/>
        </w:rPr>
        <w:t>六</w:t>
      </w:r>
      <w:r>
        <w:rPr>
          <w:rFonts w:hint="eastAsia" w:ascii="宋体" w:hAnsi="宋体"/>
          <w:sz w:val="24"/>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ACFD9"/>
    <w:multiLevelType w:val="singleLevel"/>
    <w:tmpl w:val="539ACF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ODJhNGQ3NTEyODc2NTMzNWQ5MzFjNTQ1Y2E1YTYifQ=="/>
    <w:docVar w:name="KSO_WPS_MARK_KEY" w:val="2bdc507f-50fe-473b-bde8-600e6822d72b"/>
  </w:docVars>
  <w:rsids>
    <w:rsidRoot w:val="00172A27"/>
    <w:rsid w:val="00012653"/>
    <w:rsid w:val="0001741F"/>
    <w:rsid w:val="00023487"/>
    <w:rsid w:val="00027AC4"/>
    <w:rsid w:val="000449F4"/>
    <w:rsid w:val="00050582"/>
    <w:rsid w:val="00090461"/>
    <w:rsid w:val="00094A13"/>
    <w:rsid w:val="000A52B6"/>
    <w:rsid w:val="000A5C0B"/>
    <w:rsid w:val="000B2681"/>
    <w:rsid w:val="000D0CB2"/>
    <w:rsid w:val="000E0598"/>
    <w:rsid w:val="000E5EE8"/>
    <w:rsid w:val="000E753D"/>
    <w:rsid w:val="00103928"/>
    <w:rsid w:val="0010418B"/>
    <w:rsid w:val="00120F9F"/>
    <w:rsid w:val="001213BA"/>
    <w:rsid w:val="001307DF"/>
    <w:rsid w:val="00134026"/>
    <w:rsid w:val="00144F23"/>
    <w:rsid w:val="001569E1"/>
    <w:rsid w:val="00172A27"/>
    <w:rsid w:val="00174AA0"/>
    <w:rsid w:val="0019454F"/>
    <w:rsid w:val="001B0A6B"/>
    <w:rsid w:val="001B0D3B"/>
    <w:rsid w:val="001B497E"/>
    <w:rsid w:val="001C7D86"/>
    <w:rsid w:val="001D1E61"/>
    <w:rsid w:val="001D3419"/>
    <w:rsid w:val="001F3D86"/>
    <w:rsid w:val="002021C7"/>
    <w:rsid w:val="00202AAB"/>
    <w:rsid w:val="00202EFF"/>
    <w:rsid w:val="00225AFA"/>
    <w:rsid w:val="00235AF7"/>
    <w:rsid w:val="00236508"/>
    <w:rsid w:val="00246F43"/>
    <w:rsid w:val="00270905"/>
    <w:rsid w:val="00273982"/>
    <w:rsid w:val="00281BAF"/>
    <w:rsid w:val="00284DC0"/>
    <w:rsid w:val="0029422E"/>
    <w:rsid w:val="002B56C7"/>
    <w:rsid w:val="002C0A1B"/>
    <w:rsid w:val="002E4CE7"/>
    <w:rsid w:val="002F55E8"/>
    <w:rsid w:val="003067ED"/>
    <w:rsid w:val="00321EC1"/>
    <w:rsid w:val="003275DC"/>
    <w:rsid w:val="00333179"/>
    <w:rsid w:val="00354B2E"/>
    <w:rsid w:val="00374EAF"/>
    <w:rsid w:val="003816B1"/>
    <w:rsid w:val="003935F7"/>
    <w:rsid w:val="003A4403"/>
    <w:rsid w:val="003E0DE2"/>
    <w:rsid w:val="003E264B"/>
    <w:rsid w:val="003E596A"/>
    <w:rsid w:val="004128D5"/>
    <w:rsid w:val="004147B0"/>
    <w:rsid w:val="0042233A"/>
    <w:rsid w:val="004266BB"/>
    <w:rsid w:val="00440DB2"/>
    <w:rsid w:val="00455993"/>
    <w:rsid w:val="0047011B"/>
    <w:rsid w:val="00472EE4"/>
    <w:rsid w:val="00483B5B"/>
    <w:rsid w:val="00484F4E"/>
    <w:rsid w:val="0049071C"/>
    <w:rsid w:val="00490E28"/>
    <w:rsid w:val="00491F1E"/>
    <w:rsid w:val="0049315D"/>
    <w:rsid w:val="00493EB0"/>
    <w:rsid w:val="00494D26"/>
    <w:rsid w:val="004A1B6F"/>
    <w:rsid w:val="004D12A8"/>
    <w:rsid w:val="004D7E19"/>
    <w:rsid w:val="004E03CF"/>
    <w:rsid w:val="004F2EF5"/>
    <w:rsid w:val="004F42B5"/>
    <w:rsid w:val="00513190"/>
    <w:rsid w:val="00525D2B"/>
    <w:rsid w:val="0053148F"/>
    <w:rsid w:val="005317B8"/>
    <w:rsid w:val="005473CD"/>
    <w:rsid w:val="005618D3"/>
    <w:rsid w:val="00563B86"/>
    <w:rsid w:val="005817B6"/>
    <w:rsid w:val="005A2DD6"/>
    <w:rsid w:val="005A4C8A"/>
    <w:rsid w:val="005A6971"/>
    <w:rsid w:val="005B04BA"/>
    <w:rsid w:val="005B1C2C"/>
    <w:rsid w:val="005D0E2F"/>
    <w:rsid w:val="005D1F49"/>
    <w:rsid w:val="005D2AA9"/>
    <w:rsid w:val="005E4208"/>
    <w:rsid w:val="00601FAF"/>
    <w:rsid w:val="00602C87"/>
    <w:rsid w:val="00603AFF"/>
    <w:rsid w:val="00622BF5"/>
    <w:rsid w:val="00623E78"/>
    <w:rsid w:val="006336F2"/>
    <w:rsid w:val="00650B28"/>
    <w:rsid w:val="00660923"/>
    <w:rsid w:val="0067574A"/>
    <w:rsid w:val="00675F31"/>
    <w:rsid w:val="00681A1D"/>
    <w:rsid w:val="006A5D35"/>
    <w:rsid w:val="006C0EF7"/>
    <w:rsid w:val="006C29E4"/>
    <w:rsid w:val="006C485F"/>
    <w:rsid w:val="006D21A9"/>
    <w:rsid w:val="006E59DE"/>
    <w:rsid w:val="006F3885"/>
    <w:rsid w:val="006F618D"/>
    <w:rsid w:val="007014C7"/>
    <w:rsid w:val="00725821"/>
    <w:rsid w:val="00747DF1"/>
    <w:rsid w:val="00757977"/>
    <w:rsid w:val="007729F1"/>
    <w:rsid w:val="00784BCB"/>
    <w:rsid w:val="007851CF"/>
    <w:rsid w:val="00791862"/>
    <w:rsid w:val="007A154B"/>
    <w:rsid w:val="007A3481"/>
    <w:rsid w:val="007A3EDA"/>
    <w:rsid w:val="007A4FFD"/>
    <w:rsid w:val="007C4783"/>
    <w:rsid w:val="007F2D72"/>
    <w:rsid w:val="007F6390"/>
    <w:rsid w:val="00814A35"/>
    <w:rsid w:val="0083334E"/>
    <w:rsid w:val="008422E8"/>
    <w:rsid w:val="00842618"/>
    <w:rsid w:val="008556AB"/>
    <w:rsid w:val="00855F2D"/>
    <w:rsid w:val="00877DD0"/>
    <w:rsid w:val="008B0CF7"/>
    <w:rsid w:val="008B23DD"/>
    <w:rsid w:val="008B7BC3"/>
    <w:rsid w:val="008E50A1"/>
    <w:rsid w:val="008F1880"/>
    <w:rsid w:val="008F29DA"/>
    <w:rsid w:val="00903D27"/>
    <w:rsid w:val="00916A0A"/>
    <w:rsid w:val="009253B2"/>
    <w:rsid w:val="009342D2"/>
    <w:rsid w:val="009427F4"/>
    <w:rsid w:val="00973D8C"/>
    <w:rsid w:val="009849A6"/>
    <w:rsid w:val="009C08C9"/>
    <w:rsid w:val="009C3AD6"/>
    <w:rsid w:val="009C6293"/>
    <w:rsid w:val="009C62A3"/>
    <w:rsid w:val="009C77C3"/>
    <w:rsid w:val="009D20CE"/>
    <w:rsid w:val="009D6D11"/>
    <w:rsid w:val="009F04C9"/>
    <w:rsid w:val="009F6225"/>
    <w:rsid w:val="00A41B50"/>
    <w:rsid w:val="00A54972"/>
    <w:rsid w:val="00A55AF4"/>
    <w:rsid w:val="00A65571"/>
    <w:rsid w:val="00A707E2"/>
    <w:rsid w:val="00A72AE4"/>
    <w:rsid w:val="00A85312"/>
    <w:rsid w:val="00AA2FC5"/>
    <w:rsid w:val="00AA3226"/>
    <w:rsid w:val="00AA49E2"/>
    <w:rsid w:val="00AC7393"/>
    <w:rsid w:val="00AE39C8"/>
    <w:rsid w:val="00AE64C1"/>
    <w:rsid w:val="00AE799C"/>
    <w:rsid w:val="00AE7BC3"/>
    <w:rsid w:val="00B0060D"/>
    <w:rsid w:val="00B20F8C"/>
    <w:rsid w:val="00B23BCB"/>
    <w:rsid w:val="00B348B0"/>
    <w:rsid w:val="00B47AA4"/>
    <w:rsid w:val="00B51305"/>
    <w:rsid w:val="00B573F3"/>
    <w:rsid w:val="00B60BA4"/>
    <w:rsid w:val="00B70CAA"/>
    <w:rsid w:val="00B7440D"/>
    <w:rsid w:val="00B76860"/>
    <w:rsid w:val="00B91C4C"/>
    <w:rsid w:val="00B93219"/>
    <w:rsid w:val="00B957C1"/>
    <w:rsid w:val="00BB30FF"/>
    <w:rsid w:val="00BB39D8"/>
    <w:rsid w:val="00BC0333"/>
    <w:rsid w:val="00BC4311"/>
    <w:rsid w:val="00BD13DF"/>
    <w:rsid w:val="00BD206B"/>
    <w:rsid w:val="00BE3B0D"/>
    <w:rsid w:val="00BF0DED"/>
    <w:rsid w:val="00C01739"/>
    <w:rsid w:val="00C14622"/>
    <w:rsid w:val="00C37659"/>
    <w:rsid w:val="00C42ABC"/>
    <w:rsid w:val="00C47D94"/>
    <w:rsid w:val="00C63185"/>
    <w:rsid w:val="00C71D3E"/>
    <w:rsid w:val="00C975B9"/>
    <w:rsid w:val="00CA049E"/>
    <w:rsid w:val="00CA1315"/>
    <w:rsid w:val="00CF50E1"/>
    <w:rsid w:val="00CF752F"/>
    <w:rsid w:val="00D603BA"/>
    <w:rsid w:val="00D77CA7"/>
    <w:rsid w:val="00D8192C"/>
    <w:rsid w:val="00D87B14"/>
    <w:rsid w:val="00DA3845"/>
    <w:rsid w:val="00DB410B"/>
    <w:rsid w:val="00DC05F9"/>
    <w:rsid w:val="00DC2BCB"/>
    <w:rsid w:val="00DC54DC"/>
    <w:rsid w:val="00DC6AAF"/>
    <w:rsid w:val="00DD4C6E"/>
    <w:rsid w:val="00DE1D39"/>
    <w:rsid w:val="00DE4EF3"/>
    <w:rsid w:val="00DE6A84"/>
    <w:rsid w:val="00DE7330"/>
    <w:rsid w:val="00DF36C0"/>
    <w:rsid w:val="00E02182"/>
    <w:rsid w:val="00E35D66"/>
    <w:rsid w:val="00E475D3"/>
    <w:rsid w:val="00E767A5"/>
    <w:rsid w:val="00E82887"/>
    <w:rsid w:val="00E828B2"/>
    <w:rsid w:val="00E82942"/>
    <w:rsid w:val="00ED5E3C"/>
    <w:rsid w:val="00EE35C4"/>
    <w:rsid w:val="00EF6110"/>
    <w:rsid w:val="00EF6393"/>
    <w:rsid w:val="00F027FB"/>
    <w:rsid w:val="00F12B41"/>
    <w:rsid w:val="00F13F9B"/>
    <w:rsid w:val="00F1722B"/>
    <w:rsid w:val="00F33B77"/>
    <w:rsid w:val="00F4477A"/>
    <w:rsid w:val="00F46B9A"/>
    <w:rsid w:val="00F47F91"/>
    <w:rsid w:val="00F65175"/>
    <w:rsid w:val="00F827AF"/>
    <w:rsid w:val="00F95CB0"/>
    <w:rsid w:val="00FC181B"/>
    <w:rsid w:val="00FF6602"/>
    <w:rsid w:val="011B0745"/>
    <w:rsid w:val="0135137F"/>
    <w:rsid w:val="01AC7ACE"/>
    <w:rsid w:val="021C0820"/>
    <w:rsid w:val="02354A10"/>
    <w:rsid w:val="0291016E"/>
    <w:rsid w:val="02A03FE0"/>
    <w:rsid w:val="02B043C5"/>
    <w:rsid w:val="02DB675D"/>
    <w:rsid w:val="02F853F7"/>
    <w:rsid w:val="030E6210"/>
    <w:rsid w:val="033B7300"/>
    <w:rsid w:val="03657396"/>
    <w:rsid w:val="037B54CB"/>
    <w:rsid w:val="038E49F5"/>
    <w:rsid w:val="04133956"/>
    <w:rsid w:val="041733DA"/>
    <w:rsid w:val="0451447E"/>
    <w:rsid w:val="04750178"/>
    <w:rsid w:val="049676A2"/>
    <w:rsid w:val="04B51790"/>
    <w:rsid w:val="050D65F7"/>
    <w:rsid w:val="052C238F"/>
    <w:rsid w:val="052D0A47"/>
    <w:rsid w:val="054221D9"/>
    <w:rsid w:val="05A2124A"/>
    <w:rsid w:val="05E9200E"/>
    <w:rsid w:val="06553913"/>
    <w:rsid w:val="067D3DF4"/>
    <w:rsid w:val="06A2037F"/>
    <w:rsid w:val="06B83462"/>
    <w:rsid w:val="06EE2458"/>
    <w:rsid w:val="073A362C"/>
    <w:rsid w:val="073C7668"/>
    <w:rsid w:val="07417D06"/>
    <w:rsid w:val="07421D53"/>
    <w:rsid w:val="077C3F51"/>
    <w:rsid w:val="07C66EBA"/>
    <w:rsid w:val="08463673"/>
    <w:rsid w:val="08C23BA0"/>
    <w:rsid w:val="090A2C30"/>
    <w:rsid w:val="0965475F"/>
    <w:rsid w:val="09AB13AA"/>
    <w:rsid w:val="09CC7C3A"/>
    <w:rsid w:val="0A0C3723"/>
    <w:rsid w:val="0A6E7E60"/>
    <w:rsid w:val="0ACE4677"/>
    <w:rsid w:val="0AFE08CD"/>
    <w:rsid w:val="0B395DBC"/>
    <w:rsid w:val="0B3F7726"/>
    <w:rsid w:val="0B41272D"/>
    <w:rsid w:val="0B4A6EAD"/>
    <w:rsid w:val="0B6F513A"/>
    <w:rsid w:val="0BF64C7C"/>
    <w:rsid w:val="0C1E558E"/>
    <w:rsid w:val="0D6851E9"/>
    <w:rsid w:val="0D6E7E4F"/>
    <w:rsid w:val="0D9303C8"/>
    <w:rsid w:val="0D957AD2"/>
    <w:rsid w:val="0DDC2091"/>
    <w:rsid w:val="0E3B1FBC"/>
    <w:rsid w:val="0E64709A"/>
    <w:rsid w:val="0E666BD4"/>
    <w:rsid w:val="0EC86D78"/>
    <w:rsid w:val="0EC96B65"/>
    <w:rsid w:val="0F136F00"/>
    <w:rsid w:val="0F563291"/>
    <w:rsid w:val="0F7B45D3"/>
    <w:rsid w:val="0FD24AAC"/>
    <w:rsid w:val="102A1F09"/>
    <w:rsid w:val="107514A4"/>
    <w:rsid w:val="107D7648"/>
    <w:rsid w:val="112A100A"/>
    <w:rsid w:val="11451272"/>
    <w:rsid w:val="117C6213"/>
    <w:rsid w:val="1189632F"/>
    <w:rsid w:val="11D010D8"/>
    <w:rsid w:val="11F10C8B"/>
    <w:rsid w:val="11F52B0A"/>
    <w:rsid w:val="12A367ED"/>
    <w:rsid w:val="12F4307A"/>
    <w:rsid w:val="12FD668D"/>
    <w:rsid w:val="130F4CA1"/>
    <w:rsid w:val="135848B1"/>
    <w:rsid w:val="1364593E"/>
    <w:rsid w:val="14BC2880"/>
    <w:rsid w:val="15B669CC"/>
    <w:rsid w:val="15D32F45"/>
    <w:rsid w:val="16280F23"/>
    <w:rsid w:val="168F78E4"/>
    <w:rsid w:val="16BF05EE"/>
    <w:rsid w:val="16D76A65"/>
    <w:rsid w:val="16ED3252"/>
    <w:rsid w:val="171B54BE"/>
    <w:rsid w:val="17451C21"/>
    <w:rsid w:val="17620A24"/>
    <w:rsid w:val="17941037"/>
    <w:rsid w:val="179C380B"/>
    <w:rsid w:val="17AE3A82"/>
    <w:rsid w:val="17BA3F9F"/>
    <w:rsid w:val="17C43DD0"/>
    <w:rsid w:val="17C46391"/>
    <w:rsid w:val="17CC0594"/>
    <w:rsid w:val="18D07F81"/>
    <w:rsid w:val="18EF4BAA"/>
    <w:rsid w:val="19265A82"/>
    <w:rsid w:val="1990114D"/>
    <w:rsid w:val="19C07C84"/>
    <w:rsid w:val="19E82D37"/>
    <w:rsid w:val="1A2A0C1A"/>
    <w:rsid w:val="1AA255DC"/>
    <w:rsid w:val="1B027E29"/>
    <w:rsid w:val="1BF42C46"/>
    <w:rsid w:val="1C0925F3"/>
    <w:rsid w:val="1C350E8A"/>
    <w:rsid w:val="1CB9648E"/>
    <w:rsid w:val="1CDC7C64"/>
    <w:rsid w:val="1CE123EB"/>
    <w:rsid w:val="1CF0262F"/>
    <w:rsid w:val="1D0645D2"/>
    <w:rsid w:val="1D0A6375"/>
    <w:rsid w:val="1D50131F"/>
    <w:rsid w:val="1D655B01"/>
    <w:rsid w:val="1D980D85"/>
    <w:rsid w:val="1DE06B47"/>
    <w:rsid w:val="1E7225E4"/>
    <w:rsid w:val="1EB8768D"/>
    <w:rsid w:val="1F0F6E11"/>
    <w:rsid w:val="1F552C1D"/>
    <w:rsid w:val="1F9E31CF"/>
    <w:rsid w:val="1FD24131"/>
    <w:rsid w:val="1FE05253"/>
    <w:rsid w:val="204D5FEA"/>
    <w:rsid w:val="206F7D0E"/>
    <w:rsid w:val="20D274FA"/>
    <w:rsid w:val="21086CE7"/>
    <w:rsid w:val="212B59D1"/>
    <w:rsid w:val="2186485F"/>
    <w:rsid w:val="218A1663"/>
    <w:rsid w:val="22125BAD"/>
    <w:rsid w:val="22D8603F"/>
    <w:rsid w:val="233A4C8A"/>
    <w:rsid w:val="23BC1987"/>
    <w:rsid w:val="23D5127B"/>
    <w:rsid w:val="24174945"/>
    <w:rsid w:val="248E2B34"/>
    <w:rsid w:val="24F37160"/>
    <w:rsid w:val="254479BB"/>
    <w:rsid w:val="25880B5B"/>
    <w:rsid w:val="25E81B5A"/>
    <w:rsid w:val="26191ACF"/>
    <w:rsid w:val="26520498"/>
    <w:rsid w:val="26DD00C8"/>
    <w:rsid w:val="270D57BC"/>
    <w:rsid w:val="27135D4E"/>
    <w:rsid w:val="27914A0E"/>
    <w:rsid w:val="27A31CF0"/>
    <w:rsid w:val="28286D9C"/>
    <w:rsid w:val="28894275"/>
    <w:rsid w:val="28B86CED"/>
    <w:rsid w:val="28CF0D04"/>
    <w:rsid w:val="2A235F6C"/>
    <w:rsid w:val="2A3E7927"/>
    <w:rsid w:val="2A6636FF"/>
    <w:rsid w:val="2A772583"/>
    <w:rsid w:val="2AAF7607"/>
    <w:rsid w:val="2AC22C78"/>
    <w:rsid w:val="2AF94DA4"/>
    <w:rsid w:val="2B4A3C63"/>
    <w:rsid w:val="2B8E7EF4"/>
    <w:rsid w:val="2BD47D07"/>
    <w:rsid w:val="2C1F79A0"/>
    <w:rsid w:val="2C892BFB"/>
    <w:rsid w:val="2C8C6BBA"/>
    <w:rsid w:val="2CB16362"/>
    <w:rsid w:val="2CC11EF0"/>
    <w:rsid w:val="2D1E2844"/>
    <w:rsid w:val="2D291F29"/>
    <w:rsid w:val="2D380C2C"/>
    <w:rsid w:val="2D52657E"/>
    <w:rsid w:val="2D5C4786"/>
    <w:rsid w:val="2DD10B46"/>
    <w:rsid w:val="2DF94F1D"/>
    <w:rsid w:val="2E3B692C"/>
    <w:rsid w:val="2E507340"/>
    <w:rsid w:val="2EA2700D"/>
    <w:rsid w:val="2F1A5CD7"/>
    <w:rsid w:val="2F2A50DC"/>
    <w:rsid w:val="2F3A3EF1"/>
    <w:rsid w:val="2F9837E0"/>
    <w:rsid w:val="2FEE2FF2"/>
    <w:rsid w:val="3025488D"/>
    <w:rsid w:val="30890978"/>
    <w:rsid w:val="30C776F3"/>
    <w:rsid w:val="30E57CC3"/>
    <w:rsid w:val="312C4797"/>
    <w:rsid w:val="315B2FB6"/>
    <w:rsid w:val="31611240"/>
    <w:rsid w:val="31662A68"/>
    <w:rsid w:val="317B7E20"/>
    <w:rsid w:val="3273128F"/>
    <w:rsid w:val="32BC21C9"/>
    <w:rsid w:val="32CE4957"/>
    <w:rsid w:val="32F370D0"/>
    <w:rsid w:val="33154745"/>
    <w:rsid w:val="335F074B"/>
    <w:rsid w:val="336A39B5"/>
    <w:rsid w:val="33C60A17"/>
    <w:rsid w:val="341B6A2F"/>
    <w:rsid w:val="34B955A4"/>
    <w:rsid w:val="356C2341"/>
    <w:rsid w:val="35BC5FB4"/>
    <w:rsid w:val="35D43DD4"/>
    <w:rsid w:val="36065B18"/>
    <w:rsid w:val="366A4DA8"/>
    <w:rsid w:val="36A9016B"/>
    <w:rsid w:val="36B329EC"/>
    <w:rsid w:val="36DE46DE"/>
    <w:rsid w:val="36EC0396"/>
    <w:rsid w:val="37055B47"/>
    <w:rsid w:val="370B4C6F"/>
    <w:rsid w:val="37466809"/>
    <w:rsid w:val="37BD6D79"/>
    <w:rsid w:val="37CE1714"/>
    <w:rsid w:val="37DC5CA4"/>
    <w:rsid w:val="38D820B5"/>
    <w:rsid w:val="390D7003"/>
    <w:rsid w:val="39706B79"/>
    <w:rsid w:val="39E97DA8"/>
    <w:rsid w:val="3A1E0383"/>
    <w:rsid w:val="3A5D4E6A"/>
    <w:rsid w:val="3B1B71EA"/>
    <w:rsid w:val="3B3D2A8B"/>
    <w:rsid w:val="3B9917F3"/>
    <w:rsid w:val="3C246E37"/>
    <w:rsid w:val="3C4F25B5"/>
    <w:rsid w:val="3C541C63"/>
    <w:rsid w:val="3D3E3C61"/>
    <w:rsid w:val="3E1E6BED"/>
    <w:rsid w:val="3E2D328B"/>
    <w:rsid w:val="3E542340"/>
    <w:rsid w:val="3E6A38AD"/>
    <w:rsid w:val="3E81549E"/>
    <w:rsid w:val="3EAC02FF"/>
    <w:rsid w:val="3EB94BB9"/>
    <w:rsid w:val="3ED670B5"/>
    <w:rsid w:val="3F4D412F"/>
    <w:rsid w:val="3F5B5BD6"/>
    <w:rsid w:val="3F9E1F60"/>
    <w:rsid w:val="3FA550A3"/>
    <w:rsid w:val="3FF5663E"/>
    <w:rsid w:val="40102BDE"/>
    <w:rsid w:val="401F09B1"/>
    <w:rsid w:val="40DB1E10"/>
    <w:rsid w:val="40E46506"/>
    <w:rsid w:val="40F9551A"/>
    <w:rsid w:val="416E7EEE"/>
    <w:rsid w:val="42134546"/>
    <w:rsid w:val="42800A16"/>
    <w:rsid w:val="42C61868"/>
    <w:rsid w:val="42D91BCA"/>
    <w:rsid w:val="42DF5749"/>
    <w:rsid w:val="42E34DC3"/>
    <w:rsid w:val="431E31BE"/>
    <w:rsid w:val="435460FF"/>
    <w:rsid w:val="436C4E7F"/>
    <w:rsid w:val="43F8371D"/>
    <w:rsid w:val="4405408E"/>
    <w:rsid w:val="44376C02"/>
    <w:rsid w:val="448C3DA5"/>
    <w:rsid w:val="44E33461"/>
    <w:rsid w:val="452428A8"/>
    <w:rsid w:val="4529605B"/>
    <w:rsid w:val="45D97854"/>
    <w:rsid w:val="45E034DC"/>
    <w:rsid w:val="46ED1F0F"/>
    <w:rsid w:val="4732546E"/>
    <w:rsid w:val="4763003C"/>
    <w:rsid w:val="47896400"/>
    <w:rsid w:val="48385F96"/>
    <w:rsid w:val="48BD5E62"/>
    <w:rsid w:val="49211466"/>
    <w:rsid w:val="49310D0B"/>
    <w:rsid w:val="4A8C6560"/>
    <w:rsid w:val="4AA01FB4"/>
    <w:rsid w:val="4B331E38"/>
    <w:rsid w:val="4B57727B"/>
    <w:rsid w:val="4B8D3325"/>
    <w:rsid w:val="4B9F3C86"/>
    <w:rsid w:val="4C0A4C0B"/>
    <w:rsid w:val="4C197D77"/>
    <w:rsid w:val="4C2D7ED3"/>
    <w:rsid w:val="4C2F0041"/>
    <w:rsid w:val="4C7A7C30"/>
    <w:rsid w:val="4C7B603F"/>
    <w:rsid w:val="4C8D7673"/>
    <w:rsid w:val="4C9C478C"/>
    <w:rsid w:val="4CB0382E"/>
    <w:rsid w:val="4D97427D"/>
    <w:rsid w:val="4E4A6BBC"/>
    <w:rsid w:val="4E4D372B"/>
    <w:rsid w:val="4EF37BDC"/>
    <w:rsid w:val="4F2E2C0F"/>
    <w:rsid w:val="4F534F16"/>
    <w:rsid w:val="4F785076"/>
    <w:rsid w:val="4FAD7FBA"/>
    <w:rsid w:val="4FAE1D52"/>
    <w:rsid w:val="4FC46BD9"/>
    <w:rsid w:val="50371D47"/>
    <w:rsid w:val="50485D02"/>
    <w:rsid w:val="50BA6805"/>
    <w:rsid w:val="50E53DC8"/>
    <w:rsid w:val="511E6A63"/>
    <w:rsid w:val="51403E91"/>
    <w:rsid w:val="51C33649"/>
    <w:rsid w:val="521B31E0"/>
    <w:rsid w:val="52C23E67"/>
    <w:rsid w:val="531F117A"/>
    <w:rsid w:val="534776EE"/>
    <w:rsid w:val="53B813F1"/>
    <w:rsid w:val="53FD1767"/>
    <w:rsid w:val="542E3995"/>
    <w:rsid w:val="544B4013"/>
    <w:rsid w:val="54962101"/>
    <w:rsid w:val="549A1B46"/>
    <w:rsid w:val="55245321"/>
    <w:rsid w:val="559E1188"/>
    <w:rsid w:val="55DE4499"/>
    <w:rsid w:val="55FB21BB"/>
    <w:rsid w:val="56144AF0"/>
    <w:rsid w:val="56191BDF"/>
    <w:rsid w:val="56193D7C"/>
    <w:rsid w:val="565F5230"/>
    <w:rsid w:val="567A298E"/>
    <w:rsid w:val="568D3428"/>
    <w:rsid w:val="56AA479A"/>
    <w:rsid w:val="56DD5701"/>
    <w:rsid w:val="57184B2E"/>
    <w:rsid w:val="572E35AF"/>
    <w:rsid w:val="576C0528"/>
    <w:rsid w:val="577218B7"/>
    <w:rsid w:val="57AF7DCD"/>
    <w:rsid w:val="57FD2352"/>
    <w:rsid w:val="58111688"/>
    <w:rsid w:val="58285192"/>
    <w:rsid w:val="58377D86"/>
    <w:rsid w:val="587A24F5"/>
    <w:rsid w:val="587C2C2F"/>
    <w:rsid w:val="58B8779D"/>
    <w:rsid w:val="58C6010C"/>
    <w:rsid w:val="590242C8"/>
    <w:rsid w:val="59745DBA"/>
    <w:rsid w:val="5A247E2F"/>
    <w:rsid w:val="5A5C1E0E"/>
    <w:rsid w:val="5A6A754B"/>
    <w:rsid w:val="5A93401E"/>
    <w:rsid w:val="5ACF4A8B"/>
    <w:rsid w:val="5AE26BE0"/>
    <w:rsid w:val="5B161530"/>
    <w:rsid w:val="5B207260"/>
    <w:rsid w:val="5B655F94"/>
    <w:rsid w:val="5BB0022A"/>
    <w:rsid w:val="5BE70C85"/>
    <w:rsid w:val="5BEC0332"/>
    <w:rsid w:val="5C9255F9"/>
    <w:rsid w:val="5C95407D"/>
    <w:rsid w:val="5CC10E10"/>
    <w:rsid w:val="5D2B49E2"/>
    <w:rsid w:val="5D317686"/>
    <w:rsid w:val="5D702C5B"/>
    <w:rsid w:val="5DA327CA"/>
    <w:rsid w:val="5DB55FB7"/>
    <w:rsid w:val="5E1D77DE"/>
    <w:rsid w:val="5E4F3C50"/>
    <w:rsid w:val="5EBA21F4"/>
    <w:rsid w:val="5EFE6642"/>
    <w:rsid w:val="5F3244C6"/>
    <w:rsid w:val="5F392DEF"/>
    <w:rsid w:val="5F8E562C"/>
    <w:rsid w:val="5FB10EAB"/>
    <w:rsid w:val="5FCF78A6"/>
    <w:rsid w:val="603A39FC"/>
    <w:rsid w:val="612D6AC7"/>
    <w:rsid w:val="615C00C5"/>
    <w:rsid w:val="61972B6A"/>
    <w:rsid w:val="61BD259A"/>
    <w:rsid w:val="61EC1C0D"/>
    <w:rsid w:val="6277565D"/>
    <w:rsid w:val="628350AF"/>
    <w:rsid w:val="62B52594"/>
    <w:rsid w:val="62DB6BE0"/>
    <w:rsid w:val="631210AD"/>
    <w:rsid w:val="6325028D"/>
    <w:rsid w:val="63451DBF"/>
    <w:rsid w:val="63A23C18"/>
    <w:rsid w:val="63BA5C48"/>
    <w:rsid w:val="63C1759D"/>
    <w:rsid w:val="63C95B50"/>
    <w:rsid w:val="63F43D7F"/>
    <w:rsid w:val="643E1DDB"/>
    <w:rsid w:val="6450167E"/>
    <w:rsid w:val="646377BD"/>
    <w:rsid w:val="64772F17"/>
    <w:rsid w:val="64A75470"/>
    <w:rsid w:val="64AC75A1"/>
    <w:rsid w:val="64AE142B"/>
    <w:rsid w:val="64C72D9F"/>
    <w:rsid w:val="64D26788"/>
    <w:rsid w:val="651947B7"/>
    <w:rsid w:val="65BE3800"/>
    <w:rsid w:val="65EC3F7E"/>
    <w:rsid w:val="664E4312"/>
    <w:rsid w:val="66A71EB1"/>
    <w:rsid w:val="66D62934"/>
    <w:rsid w:val="685D39C4"/>
    <w:rsid w:val="68752FB5"/>
    <w:rsid w:val="68F4037D"/>
    <w:rsid w:val="693B377B"/>
    <w:rsid w:val="69402A7A"/>
    <w:rsid w:val="6994750C"/>
    <w:rsid w:val="6AAC5C88"/>
    <w:rsid w:val="6B112163"/>
    <w:rsid w:val="6B6A4C57"/>
    <w:rsid w:val="6BA936A1"/>
    <w:rsid w:val="6C24000E"/>
    <w:rsid w:val="6C440E9E"/>
    <w:rsid w:val="6C701003"/>
    <w:rsid w:val="6CB7688A"/>
    <w:rsid w:val="6D2F13C1"/>
    <w:rsid w:val="6D8C2DD3"/>
    <w:rsid w:val="6EAA7FEA"/>
    <w:rsid w:val="6F653D83"/>
    <w:rsid w:val="6F7026DB"/>
    <w:rsid w:val="6F760E03"/>
    <w:rsid w:val="6F9E4B2F"/>
    <w:rsid w:val="6FF3441E"/>
    <w:rsid w:val="705D0EFE"/>
    <w:rsid w:val="71334D17"/>
    <w:rsid w:val="715414DE"/>
    <w:rsid w:val="71EE29DB"/>
    <w:rsid w:val="72111FA0"/>
    <w:rsid w:val="724578F3"/>
    <w:rsid w:val="72E70F53"/>
    <w:rsid w:val="7306587D"/>
    <w:rsid w:val="7327134F"/>
    <w:rsid w:val="739D214C"/>
    <w:rsid w:val="73BA35F6"/>
    <w:rsid w:val="73F5094C"/>
    <w:rsid w:val="7435157E"/>
    <w:rsid w:val="745B7E8E"/>
    <w:rsid w:val="74626AE3"/>
    <w:rsid w:val="7477077E"/>
    <w:rsid w:val="748A7DE8"/>
    <w:rsid w:val="75665BB1"/>
    <w:rsid w:val="75BA7A8F"/>
    <w:rsid w:val="75D51537"/>
    <w:rsid w:val="75ED79A9"/>
    <w:rsid w:val="764C58E9"/>
    <w:rsid w:val="776860ED"/>
    <w:rsid w:val="77D17A83"/>
    <w:rsid w:val="78880AE2"/>
    <w:rsid w:val="78931B32"/>
    <w:rsid w:val="789B029A"/>
    <w:rsid w:val="78AD7253"/>
    <w:rsid w:val="78F37DE9"/>
    <w:rsid w:val="792151BF"/>
    <w:rsid w:val="796B2ECF"/>
    <w:rsid w:val="79C444CF"/>
    <w:rsid w:val="7A265305"/>
    <w:rsid w:val="7A723A70"/>
    <w:rsid w:val="7A991CFE"/>
    <w:rsid w:val="7AAA1CB7"/>
    <w:rsid w:val="7B010485"/>
    <w:rsid w:val="7B046266"/>
    <w:rsid w:val="7BC23097"/>
    <w:rsid w:val="7BD51B41"/>
    <w:rsid w:val="7BE13546"/>
    <w:rsid w:val="7C387338"/>
    <w:rsid w:val="7C824B4A"/>
    <w:rsid w:val="7CDC2952"/>
    <w:rsid w:val="7D063CDB"/>
    <w:rsid w:val="7D372A36"/>
    <w:rsid w:val="7D506A81"/>
    <w:rsid w:val="7D5D078F"/>
    <w:rsid w:val="7D997111"/>
    <w:rsid w:val="7D9C12B8"/>
    <w:rsid w:val="7E074AFB"/>
    <w:rsid w:val="7E300A37"/>
    <w:rsid w:val="7E374B3D"/>
    <w:rsid w:val="7E4A2638"/>
    <w:rsid w:val="7F0B0C46"/>
    <w:rsid w:val="7F157B5F"/>
    <w:rsid w:val="7F8D64F3"/>
    <w:rsid w:val="7F91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alloon Text"/>
    <w:basedOn w:val="1"/>
    <w:link w:val="25"/>
    <w:semiHidden/>
    <w:unhideWhenUsed/>
    <w:qFormat/>
    <w:uiPriority w:val="99"/>
    <w:rPr>
      <w:sz w:val="18"/>
      <w:szCs w:val="18"/>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23"/>
    <w:semiHidden/>
    <w:unhideWhenUsed/>
    <w:qFormat/>
    <w:uiPriority w:val="99"/>
    <w:rPr>
      <w:b/>
      <w:bCs/>
    </w:rPr>
  </w:style>
  <w:style w:type="table" w:styleId="9">
    <w:name w:val="Table Grid"/>
    <w:basedOn w:val="8"/>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semiHidden/>
    <w:unhideWhenUsed/>
    <w:qFormat/>
    <w:uiPriority w:val="99"/>
    <w:rPr>
      <w:color w:val="4461DA"/>
      <w:u w:val="none"/>
    </w:rPr>
  </w:style>
  <w:style w:type="character" w:styleId="13">
    <w:name w:val="HTML Acronym"/>
    <w:basedOn w:val="10"/>
    <w:semiHidden/>
    <w:unhideWhenUsed/>
    <w:qFormat/>
    <w:uiPriority w:val="99"/>
    <w:rPr>
      <w:caps/>
      <w:spacing w:val="10"/>
    </w:rPr>
  </w:style>
  <w:style w:type="character" w:styleId="14">
    <w:name w:val="HTML Variable"/>
    <w:basedOn w:val="10"/>
    <w:semiHidden/>
    <w:unhideWhenUsed/>
    <w:qFormat/>
    <w:uiPriority w:val="99"/>
    <w:rPr>
      <w:rFonts w:hint="default" w:ascii="monospace" w:hAnsi="monospace" w:eastAsia="monospace" w:cs="monospace"/>
      <w:i/>
      <w:sz w:val="24"/>
      <w:szCs w:val="24"/>
    </w:rPr>
  </w:style>
  <w:style w:type="character" w:styleId="15">
    <w:name w:val="Hyperlink"/>
    <w:basedOn w:val="10"/>
    <w:semiHidden/>
    <w:unhideWhenUsed/>
    <w:qFormat/>
    <w:uiPriority w:val="99"/>
    <w:rPr>
      <w:color w:val="4461DA"/>
      <w:u w:val="none"/>
    </w:rPr>
  </w:style>
  <w:style w:type="character" w:styleId="16">
    <w:name w:val="HTML Code"/>
    <w:basedOn w:val="10"/>
    <w:semiHidden/>
    <w:unhideWhenUsed/>
    <w:qFormat/>
    <w:uiPriority w:val="99"/>
    <w:rPr>
      <w:rFonts w:hint="default" w:ascii="monospace" w:hAnsi="monospace" w:eastAsia="monospace" w:cs="monospace"/>
      <w:color w:val="555555"/>
      <w:sz w:val="24"/>
      <w:szCs w:val="24"/>
    </w:rPr>
  </w:style>
  <w:style w:type="character" w:styleId="17">
    <w:name w:val="annotation reference"/>
    <w:basedOn w:val="10"/>
    <w:semiHidden/>
    <w:unhideWhenUsed/>
    <w:qFormat/>
    <w:uiPriority w:val="99"/>
    <w:rPr>
      <w:sz w:val="21"/>
      <w:szCs w:val="21"/>
    </w:rPr>
  </w:style>
  <w:style w:type="character" w:styleId="18">
    <w:name w:val="HTML Keyboard"/>
    <w:basedOn w:val="10"/>
    <w:semiHidden/>
    <w:unhideWhenUsed/>
    <w:qFormat/>
    <w:uiPriority w:val="99"/>
    <w:rPr>
      <w:rFonts w:ascii="monospace" w:hAnsi="monospace" w:eastAsia="monospace" w:cs="monospace"/>
      <w:sz w:val="24"/>
      <w:szCs w:val="24"/>
    </w:rPr>
  </w:style>
  <w:style w:type="character" w:styleId="19">
    <w:name w:val="HTML Sample"/>
    <w:basedOn w:val="10"/>
    <w:semiHidden/>
    <w:unhideWhenUsed/>
    <w:qFormat/>
    <w:uiPriority w:val="99"/>
    <w:rPr>
      <w:rFonts w:hint="default" w:ascii="monospace" w:hAnsi="monospace" w:eastAsia="monospace" w:cs="monospace"/>
      <w:sz w:val="24"/>
      <w:szCs w:val="24"/>
    </w:rPr>
  </w:style>
  <w:style w:type="character" w:customStyle="1" w:styleId="20">
    <w:name w:val="页眉 Char"/>
    <w:basedOn w:val="10"/>
    <w:link w:val="5"/>
    <w:qFormat/>
    <w:uiPriority w:val="99"/>
    <w:rPr>
      <w:sz w:val="18"/>
      <w:szCs w:val="18"/>
    </w:rPr>
  </w:style>
  <w:style w:type="character" w:customStyle="1" w:styleId="21">
    <w:name w:val="页脚 Char"/>
    <w:basedOn w:val="10"/>
    <w:link w:val="4"/>
    <w:qFormat/>
    <w:uiPriority w:val="99"/>
    <w:rPr>
      <w:sz w:val="18"/>
      <w:szCs w:val="18"/>
    </w:rPr>
  </w:style>
  <w:style w:type="character" w:customStyle="1" w:styleId="22">
    <w:name w:val="批注文字 Char"/>
    <w:basedOn w:val="10"/>
    <w:link w:val="2"/>
    <w:semiHidden/>
    <w:qFormat/>
    <w:uiPriority w:val="99"/>
  </w:style>
  <w:style w:type="character" w:customStyle="1" w:styleId="23">
    <w:name w:val="批注主题 Char"/>
    <w:basedOn w:val="22"/>
    <w:link w:val="7"/>
    <w:semiHidden/>
    <w:qFormat/>
    <w:uiPriority w:val="99"/>
    <w:rPr>
      <w:b/>
      <w:bC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批注框文本 Char"/>
    <w:basedOn w:val="10"/>
    <w:link w:val="3"/>
    <w:semiHidden/>
    <w:qFormat/>
    <w:uiPriority w:val="99"/>
    <w:rPr>
      <w:sz w:val="18"/>
      <w:szCs w:val="18"/>
    </w:rPr>
  </w:style>
  <w:style w:type="paragraph" w:customStyle="1" w:styleId="26">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27">
    <w:name w:val="jbox-icon-error"/>
    <w:basedOn w:val="10"/>
    <w:qFormat/>
    <w:uiPriority w:val="0"/>
  </w:style>
  <w:style w:type="character" w:customStyle="1" w:styleId="28">
    <w:name w:val="jbox-icon"/>
    <w:basedOn w:val="10"/>
    <w:qFormat/>
    <w:uiPriority w:val="0"/>
  </w:style>
  <w:style w:type="character" w:customStyle="1" w:styleId="29">
    <w:name w:val="jbox-icon-info"/>
    <w:basedOn w:val="10"/>
    <w:qFormat/>
    <w:uiPriority w:val="0"/>
  </w:style>
  <w:style w:type="character" w:customStyle="1" w:styleId="30">
    <w:name w:val="jbox-icon-warning"/>
    <w:basedOn w:val="10"/>
    <w:qFormat/>
    <w:uiPriority w:val="0"/>
  </w:style>
  <w:style w:type="character" w:customStyle="1" w:styleId="31">
    <w:name w:val="emotion"/>
    <w:basedOn w:val="10"/>
    <w:qFormat/>
    <w:uiPriority w:val="0"/>
    <w:rPr>
      <w:vanish/>
      <w:sz w:val="15"/>
      <w:szCs w:val="15"/>
    </w:rPr>
  </w:style>
  <w:style w:type="character" w:customStyle="1" w:styleId="32">
    <w:name w:val="s_bg4_c11"/>
    <w:basedOn w:val="10"/>
    <w:qFormat/>
    <w:uiPriority w:val="0"/>
  </w:style>
  <w:style w:type="character" w:customStyle="1" w:styleId="33">
    <w:name w:val="s_bg4_c12"/>
    <w:basedOn w:val="10"/>
    <w:qFormat/>
    <w:uiPriority w:val="0"/>
  </w:style>
  <w:style w:type="character" w:customStyle="1" w:styleId="34">
    <w:name w:val="s_bg4_c2"/>
    <w:basedOn w:val="10"/>
    <w:qFormat/>
    <w:uiPriority w:val="0"/>
  </w:style>
  <w:style w:type="character" w:customStyle="1" w:styleId="35">
    <w:name w:val="s_bg4_c21"/>
    <w:basedOn w:val="10"/>
    <w:qFormat/>
    <w:uiPriority w:val="0"/>
  </w:style>
  <w:style w:type="character" w:customStyle="1" w:styleId="36">
    <w:name w:val="jbox-icon-loading"/>
    <w:basedOn w:val="10"/>
    <w:qFormat/>
    <w:uiPriority w:val="0"/>
  </w:style>
  <w:style w:type="character" w:customStyle="1" w:styleId="37">
    <w:name w:val="jbox-icon-none"/>
    <w:basedOn w:val="10"/>
    <w:qFormat/>
    <w:uiPriority w:val="0"/>
    <w:rPr>
      <w:vanish/>
    </w:rPr>
  </w:style>
  <w:style w:type="character" w:customStyle="1" w:styleId="38">
    <w:name w:val="jbox-icon-success"/>
    <w:basedOn w:val="10"/>
    <w:qFormat/>
    <w:uiPriority w:val="0"/>
  </w:style>
  <w:style w:type="character" w:customStyle="1" w:styleId="39">
    <w:name w:val="jbox-icon-question"/>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EE328-FC99-43DA-B44B-5E7E3F1D4E0F}">
  <ds:schemaRefs/>
</ds:datastoreItem>
</file>

<file path=docProps/app.xml><?xml version="1.0" encoding="utf-8"?>
<Properties xmlns="http://schemas.openxmlformats.org/officeDocument/2006/extended-properties" xmlns:vt="http://schemas.openxmlformats.org/officeDocument/2006/docPropsVTypes">
  <Template>Normal</Template>
  <Pages>7</Pages>
  <Words>4843</Words>
  <Characters>5248</Characters>
  <Lines>44</Lines>
  <Paragraphs>12</Paragraphs>
  <TotalTime>1</TotalTime>
  <ScaleCrop>false</ScaleCrop>
  <LinksUpToDate>false</LinksUpToDate>
  <CharactersWithSpaces>5402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2023-11-01T09:40:00Z</dcterms:created>
  <dc:creator>River Liu</dc:creator>
  <cp:lastModifiedBy>菠萝丸子</cp:lastModifiedBy>
  <cp:lastPrinted>2022-05-09T01:49:00Z</cp:lastPrinted>
  <dcterms:modified xsi:type="dcterms:W3CDTF">2025-12-08T07:00:35Z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81E9B667529B4E50BCA41EB7BB48C59A</vt:lpwstr>
  </property>
  <property fmtid="{D5CDD505-2E9C-101B-9397-08002B2CF9AE}" pid="4" name="KSOTemplateDocerSaveRecord">
    <vt:lpwstr>eyJoZGlkIjoiMGY0YzY5MDc3ZWRhMWE1ZWU2NjFkZTg5M2E3NDYwMjkiLCJ1c2VySWQiOiI5NTk1MTE3NTMifQ==</vt:lpwstr>
  </property>
</Properties>
</file>