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华文楷体"/>
          <w:b/>
          <w:bCs/>
          <w:iCs/>
          <w:color w:val="000000"/>
          <w:sz w:val="24"/>
          <w:lang w:val="en-US" w:eastAsia="zh-CN"/>
        </w:rPr>
      </w:pPr>
      <w:r>
        <w:rPr>
          <w:rFonts w:ascii="Times New Roman" w:hAnsi="Times New Roman" w:eastAsia="华文楷体"/>
          <w:bCs/>
          <w:iCs/>
          <w:color w:val="000000"/>
          <w:sz w:val="24"/>
        </w:rPr>
        <w:t>证券代码：</w:t>
      </w:r>
      <w:r>
        <w:rPr>
          <w:rFonts w:hint="eastAsia" w:ascii="Times New Roman" w:hAnsi="Times New Roman" w:eastAsia="华文楷体"/>
          <w:bCs/>
          <w:iCs/>
          <w:color w:val="000000"/>
          <w:sz w:val="24"/>
          <w:lang w:val="en-US" w:eastAsia="zh-CN"/>
        </w:rPr>
        <w:t>603092</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证券简称：</w:t>
      </w:r>
      <w:r>
        <w:rPr>
          <w:rFonts w:hint="eastAsia" w:ascii="Times New Roman" w:hAnsi="Times New Roman" w:eastAsia="华文楷体"/>
          <w:bCs/>
          <w:iCs/>
          <w:color w:val="000000"/>
          <w:sz w:val="24"/>
          <w:lang w:val="en-US" w:eastAsia="zh-CN"/>
        </w:rPr>
        <w:t>德力佳</w:t>
      </w:r>
    </w:p>
    <w:p>
      <w:pPr>
        <w:ind w:firstLine="482"/>
        <w:jc w:val="center"/>
        <w:rPr>
          <w:rFonts w:ascii="Times New Roman" w:hAnsi="Times New Roman" w:eastAsia="华文楷体"/>
          <w:b/>
          <w:bCs/>
          <w:iCs/>
          <w:color w:val="000000"/>
          <w:sz w:val="24"/>
        </w:rPr>
      </w:pPr>
    </w:p>
    <w:p>
      <w:pPr>
        <w:ind w:firstLine="482"/>
        <w:jc w:val="center"/>
        <w:rPr>
          <w:rFonts w:ascii="Times New Roman" w:hAnsi="Times New Roman" w:eastAsia="华文楷体"/>
          <w:b/>
          <w:bCs/>
          <w:iCs/>
          <w:color w:val="000000"/>
          <w:sz w:val="32"/>
        </w:rPr>
      </w:pPr>
      <w:r>
        <w:rPr>
          <w:rFonts w:hint="eastAsia" w:ascii="Times New Roman" w:hAnsi="Times New Roman" w:eastAsia="华文楷体"/>
          <w:b/>
          <w:bCs/>
          <w:iCs/>
          <w:color w:val="000000"/>
          <w:sz w:val="32"/>
          <w:lang w:val="en-US" w:eastAsia="zh-CN"/>
        </w:rPr>
        <w:t>德力佳传动科技（江苏）</w:t>
      </w:r>
      <w:r>
        <w:rPr>
          <w:rFonts w:ascii="Times New Roman" w:hAnsi="Times New Roman" w:eastAsia="华文楷体"/>
          <w:b/>
          <w:bCs/>
          <w:iCs/>
          <w:color w:val="000000"/>
          <w:sz w:val="32"/>
        </w:rPr>
        <w:t>股份有限公司</w:t>
      </w:r>
    </w:p>
    <w:p>
      <w:pPr>
        <w:ind w:firstLine="482"/>
        <w:jc w:val="center"/>
        <w:rPr>
          <w:rFonts w:ascii="Times New Roman" w:hAnsi="Times New Roman" w:eastAsia="华文楷体"/>
          <w:b/>
          <w:bCs/>
          <w:iCs/>
          <w:color w:val="000000"/>
          <w:sz w:val="32"/>
        </w:rPr>
      </w:pPr>
      <w:r>
        <w:rPr>
          <w:rFonts w:ascii="Times New Roman" w:hAnsi="Times New Roman" w:eastAsia="华文楷体"/>
          <w:b/>
          <w:bCs/>
          <w:iCs/>
          <w:color w:val="000000"/>
          <w:sz w:val="32"/>
        </w:rPr>
        <w:t>投资者关系活动记录表</w:t>
      </w:r>
    </w:p>
    <w:p>
      <w:pPr>
        <w:spacing w:line="400" w:lineRule="exact"/>
        <w:ind w:firstLine="480"/>
        <w:rPr>
          <w:rFonts w:hint="default" w:ascii="Times New Roman" w:hAnsi="Times New Roman" w:eastAsia="华文楷体"/>
          <w:bCs/>
          <w:iCs/>
          <w:color w:val="000000"/>
          <w:sz w:val="24"/>
          <w:lang w:val="en-US" w:eastAsia="zh-CN"/>
        </w:rPr>
      </w:pPr>
      <w:r>
        <w:rPr>
          <w:rFonts w:ascii="Times New Roman" w:hAnsi="Times New Roman" w:eastAsia="华文楷体"/>
          <w:bCs/>
          <w:iCs/>
          <w:color w:val="000000"/>
          <w:sz w:val="24"/>
        </w:rPr>
        <w:t xml:space="preserve">                                                    编号：</w:t>
      </w:r>
      <w:r>
        <w:rPr>
          <w:rFonts w:hint="eastAsia" w:ascii="Times New Roman" w:hAnsi="Times New Roman" w:eastAsia="华文楷体"/>
          <w:bCs/>
          <w:iCs/>
          <w:color w:val="000000"/>
          <w:sz w:val="24"/>
          <w:lang w:val="en-US" w:eastAsia="zh-CN"/>
        </w:rPr>
        <w:t>2025-001</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投资者关系活动类别</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特定对象调研        </w:t>
            </w:r>
            <w:r>
              <w:rPr>
                <w:rFonts w:hint="eastAsia" w:ascii="Times New Roman" w:hAnsi="Times New Roman" w:eastAsia="华文楷体"/>
                <w:bCs/>
                <w:iCs/>
                <w:color w:val="000000"/>
                <w:sz w:val="24"/>
                <w:lang w:eastAsia="zh-CN"/>
              </w:rPr>
              <w:t>☑</w:t>
            </w:r>
            <w:r>
              <w:rPr>
                <w:rFonts w:ascii="Times New Roman" w:hAnsi="Times New Roman" w:eastAsia="华文楷体"/>
                <w:sz w:val="24"/>
              </w:rPr>
              <w:t>分析师会议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媒体采访            </w:t>
            </w:r>
            <w:r>
              <w:rPr>
                <w:rFonts w:ascii="Times New Roman" w:hAnsi="Times New Roman" w:eastAsia="华文楷体"/>
                <w:bCs/>
                <w:iCs/>
                <w:color w:val="000000"/>
                <w:sz w:val="24"/>
              </w:rPr>
              <w:t>□</w:t>
            </w:r>
            <w:r>
              <w:rPr>
                <w:rFonts w:ascii="Times New Roman" w:hAnsi="Times New Roman" w:eastAsia="华文楷体"/>
                <w:sz w:val="24"/>
              </w:rPr>
              <w:t>业绩说明会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新闻发布会          </w:t>
            </w:r>
            <w:r>
              <w:rPr>
                <w:rFonts w:ascii="Times New Roman" w:hAnsi="Times New Roman" w:eastAsia="华文楷体"/>
                <w:bCs/>
                <w:iCs/>
                <w:color w:val="000000"/>
                <w:sz w:val="24"/>
              </w:rPr>
              <w:t>□</w:t>
            </w:r>
            <w:r>
              <w:rPr>
                <w:rFonts w:ascii="Times New Roman" w:hAnsi="Times New Roman" w:eastAsia="华文楷体"/>
                <w:sz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现场参观</w:t>
            </w:r>
            <w:r>
              <w:rPr>
                <w:rFonts w:ascii="Times New Roman" w:hAnsi="Times New Roman" w:eastAsia="华文楷体"/>
                <w:bCs/>
                <w:iCs/>
                <w:color w:val="000000"/>
                <w:sz w:val="24"/>
              </w:rPr>
              <w:tab/>
            </w:r>
          </w:p>
          <w:p>
            <w:pPr>
              <w:keepNext w:val="0"/>
              <w:keepLines w:val="0"/>
              <w:pageBreakBefore w:val="0"/>
              <w:widowControl w:val="0"/>
              <w:tabs>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其他 （</w:t>
            </w:r>
            <w:r>
              <w:rPr>
                <w:rFonts w:ascii="Times New Roman" w:hAnsi="Times New Roman" w:eastAsia="华文楷体"/>
                <w:sz w:val="24"/>
                <w:u w:val="single"/>
              </w:rP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参与单位名称及人员姓名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广发证券：王宁，东方红资管：郑华航，平安基金：杨蓓斯，浙商证券：陈明雨，国泰安保：肖佳琪，长江养老：赵千里，博时基金：金晟哲、雷洋，广发基金：柴嘉辉、曹越，天风证券：杨志芳，招商基金：刘宇晨，民生证券：王一如，融通基金：邓博文，建信养老：王雁冰，嘉实基金：项静远，长城证券：陈子锐，和谐汇一：孙纯鹏，信达澳亚基金：陆毅楷，国海证券：邱迪，景顺长城：朱冰文，鹏华基金：黄奕彬，国盛证券：魏燕英，交银基金：孔祥瑞，西部证券：邓宇轩，华安基金：陈泉宏，中泰证券：吴鹏，国泰基金：郑浩，南方基金：王东华，国泰海通：陈柏年、马菁菁、庞钧文，易方达基金：陈思源，汇添富基金：童心，富国基金：李可伦，华福证券：万伟，聚鸣投资：李澄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时间</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2025年12月9日13:30-16:00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地点</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德力佳传动科技（江苏）股份有限公司会议室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上市公司接待人员姓名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董事长、总经理：刘建国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董事、副总经理、董事会秘书：孔金凤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证券事务代表：朱灵芝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投资者关系活动主要内容介绍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一、观看公司宣传片，孔金凤女士从公司简介、行业发展趋势、投资亮点、未来规划及愿景四个方面简要介绍公司的基本情况。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二、回答投资者提问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bookmarkStart w:id="0" w:name="OLE_LINK1"/>
            <w:r>
              <w:rPr>
                <w:rFonts w:hint="eastAsia" w:ascii="Times New Roman" w:hAnsi="Times New Roman" w:eastAsia="华文楷体"/>
                <w:b/>
                <w:bCs w:val="0"/>
                <w:iCs/>
                <w:color w:val="000000"/>
                <w:sz w:val="24"/>
                <w:lang w:val="en-US" w:eastAsia="zh-CN"/>
              </w:rPr>
              <w:t>问题1：2026年的风电市场需求如何？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bookmarkEnd w:id="0"/>
            <w:r>
              <w:rPr>
                <w:rFonts w:hint="eastAsia" w:ascii="Times New Roman" w:hAnsi="Times New Roman" w:eastAsia="华文楷体"/>
                <w:bCs/>
                <w:iCs/>
                <w:color w:val="000000"/>
                <w:sz w:val="24"/>
                <w:lang w:val="en-US" w:eastAsia="zh-CN"/>
              </w:rPr>
              <w:t>从风电行业招标存量释放、政策持续支持的驱动下，2026年风电市场需求有望维持增长态势。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
                <w:bCs w:val="0"/>
                <w:iCs/>
                <w:color w:val="000000"/>
                <w:sz w:val="24"/>
                <w:lang w:val="en-US" w:eastAsia="zh-CN"/>
              </w:rPr>
              <w:t>问题2：公司未来产能的释放情况如何？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公司募投项目“年产1000台8MW以上大型陆上风电齿轮箱项目”、“汕头市德力佳传动有限公司年产800台大型海上风电齿轮箱汕头项目”已处于正常建设中，其中拟投放较大兆瓦试验台实现大兆瓦齿轮箱的测试需求，产能将在未来逐步释放，各生产基地间也将通过优化资源配置进一步实现扩充产能的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
                <w:bCs w:val="0"/>
                <w:iCs/>
                <w:color w:val="000000"/>
                <w:sz w:val="24"/>
                <w:lang w:val="en-US" w:eastAsia="zh-CN"/>
              </w:rPr>
              <w:t>问题3：2026年海外市场的趋势如何？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rPr>
            </w:pPr>
            <w:r>
              <w:rPr>
                <w:rFonts w:hint="eastAsia" w:ascii="Times New Roman" w:hAnsi="Times New Roman" w:eastAsia="华文楷体"/>
                <w:bCs/>
                <w:iCs/>
                <w:color w:val="000000"/>
                <w:sz w:val="24"/>
                <w:lang w:val="en-US" w:eastAsia="zh-CN"/>
              </w:rPr>
              <w:t>答：随着传统欧洲风电巨头面临财务亏损、供应链紧张等挑战，增长乏力，为其配套的海外齿轮箱等核心部件供应商同样萎缩。在此消彼长之下，中国主机厂商凭借全产业链的成本、技术和快速交付优势，在海外市场的竞争力与份额正快速提升。公司作为核心部件齿轮箱供应商，也将受益于这一“国产主机出海潮”，实现从国内配套到全球配套的跨越。公司也一直积极布局海外市场，与海外客户保持着密切沟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bookmarkStart w:id="1" w:name="OLE_LINK2"/>
            <w:r>
              <w:rPr>
                <w:rFonts w:hint="eastAsia" w:ascii="Times New Roman" w:hAnsi="Times New Roman" w:eastAsia="华文楷体"/>
                <w:b/>
                <w:bCs w:val="0"/>
                <w:iCs/>
                <w:color w:val="000000"/>
                <w:sz w:val="24"/>
                <w:lang w:val="en-US" w:eastAsia="zh-CN"/>
              </w:rPr>
              <w:t>问题4：风电齿轮箱份额提升主要靠什么策略？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bookmarkEnd w:id="1"/>
            <w:r>
              <w:rPr>
                <w:rFonts w:hint="eastAsia" w:ascii="Times New Roman" w:hAnsi="Times New Roman" w:eastAsia="华文楷体"/>
                <w:bCs/>
                <w:iCs/>
                <w:color w:val="000000"/>
                <w:sz w:val="24"/>
                <w:lang w:val="en-US" w:eastAsia="zh-CN"/>
              </w:rPr>
              <w:t>风电齿轮箱市场份额的提升，核心在于构建以 “技术创新与工艺升级”为基础、以“规模效应与资金投入”为支撑、以“客户认可与政策机遇”为驱动、以“海外拓展”为增量的综合战略体系。具体而言，公司通过持续投入研发，掌握大兆瓦齿轮箱的核心技术与优化设计，并借助先进工艺确保产品高可靠性与低成本；同时，大规模产能建设和资金投入形成规模效应，进一步巩固成本优势。在市场端，凭借过硬的产品性能与服务质量赢得终端主机厂及运营商的长期认可，形成口碑效应，而行业政策的持续利好则为需求扩张提供了稳定环境。此外，积极推行海外战略，紧抓全球风电产业链重构机遇，伴随中国主机厂出海并拓展独立渠道，从而在快速增长的国际市场中抢占先机，实现份额的全面突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r>
              <w:rPr>
                <w:rFonts w:hint="eastAsia" w:ascii="Times New Roman" w:hAnsi="Times New Roman" w:eastAsia="华文楷体"/>
                <w:b/>
                <w:bCs w:val="0"/>
                <w:iCs/>
                <w:color w:val="000000"/>
                <w:sz w:val="24"/>
                <w:lang w:val="en-US" w:eastAsia="zh-CN"/>
              </w:rPr>
              <w:t>问题5：请问2025年、2026年全年出货量预计多少？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2025年1-9月营业收入为405,948.14万元，同比增长66.37%；净利润为62,985.21万元，同比增长64.96%。2025年度数据请关注后续公司披露的2025年年度报告。关于2026年，市场预期看好，叠加公司募投项目的产能爬坡，相信公司也能抓住市场趋势，争取保持持续增长态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
                <w:bCs w:val="0"/>
                <w:iCs/>
                <w:color w:val="000000"/>
                <w:sz w:val="24"/>
                <w:lang w:val="en-US" w:eastAsia="zh-CN"/>
              </w:rPr>
            </w:pPr>
            <w:bookmarkStart w:id="2" w:name="OLE_LINK3"/>
            <w:r>
              <w:rPr>
                <w:rFonts w:hint="eastAsia" w:ascii="Times New Roman" w:hAnsi="Times New Roman" w:eastAsia="华文楷体"/>
                <w:b/>
                <w:bCs w:val="0"/>
                <w:iCs/>
                <w:color w:val="000000"/>
                <w:sz w:val="24"/>
                <w:lang w:val="en-US" w:eastAsia="zh-CN"/>
              </w:rPr>
              <w:t>问题6：请问风电齿轮箱单价多少钱一台？以及价格趋势是什么样的？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不同的产品价格是不一样的。比如中速、高速传动的齿轮箱，价格是不一样的；比如不同的客户配置需求不一样，价格也是不一样的。风电齿轮箱价格是非标准化的，属于一种定制化产品。风电齿轮箱市场已度过前期因技术快速迭代和激烈竞争导致的剧烈价格下行阶段，正进入一个由“成本刚性、需求理性、竞争有序”共同驱动的“动态平衡”新阶段。预计明年价格将呈现总体平稳、个案协商的态势，核心企业的定价能力将更多取决于其技术附加值、产品可靠性与综合服务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r>
              <w:rPr>
                <w:rFonts w:hint="eastAsia" w:ascii="Times New Roman" w:hAnsi="Times New Roman" w:eastAsia="华文楷体"/>
                <w:b/>
                <w:bCs w:val="0"/>
                <w:iCs/>
                <w:color w:val="000000"/>
                <w:sz w:val="24"/>
                <w:lang w:val="en-US" w:eastAsia="zh-CN"/>
              </w:rPr>
              <w:t>问题7：风电齿轮箱环节有没有新的一些技术，比如滑轴的应用或者其他方面的新技术，能够让齿轮箱价格有一些波动？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答：滑动轴承应用是一个成熟的技术，其本身的价格比滚动轴承低。在使用滑动轴承的过程中，使用齿轮件轴的材料增多了</w:t>
            </w:r>
            <w:bookmarkEnd w:id="2"/>
            <w:r>
              <w:rPr>
                <w:rFonts w:hint="eastAsia" w:ascii="Times New Roman" w:hAnsi="Times New Roman" w:eastAsia="华文楷体"/>
                <w:b w:val="0"/>
                <w:bCs/>
                <w:iCs/>
                <w:color w:val="000000"/>
                <w:sz w:val="24"/>
                <w:lang w:val="en-US" w:eastAsia="zh-CN"/>
              </w:rPr>
              <w:t>，所以综合下来，滑动轴承应用后对于成本的降低是有的，但也是有限的。当然，在随着大型化趋势加快的背景下，滑动轴承的应用对于成本优势可能会慢慢凸显。</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bookmarkStart w:id="3" w:name="OLE_LINK4"/>
            <w:r>
              <w:rPr>
                <w:rFonts w:hint="eastAsia" w:ascii="Times New Roman" w:hAnsi="Times New Roman" w:eastAsia="华文楷体"/>
                <w:b/>
                <w:bCs w:val="0"/>
                <w:iCs/>
                <w:color w:val="000000"/>
                <w:sz w:val="24"/>
                <w:lang w:val="en-US" w:eastAsia="zh-CN"/>
              </w:rPr>
              <w:t>问题8：从客户端来讲，明年可能主要是哪几个客户会有一个新的突破或者是份额的提升？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3"/>
            <w:r>
              <w:rPr>
                <w:rFonts w:hint="default" w:ascii="Times New Roman" w:hAnsi="Times New Roman" w:eastAsia="华文楷体"/>
                <w:b w:val="0"/>
                <w:bCs/>
                <w:iCs/>
                <w:color w:val="000000"/>
                <w:sz w:val="24"/>
                <w:lang w:val="en-US" w:eastAsia="zh-CN"/>
              </w:rPr>
              <w:t>从公司整体战略与行业特性出发，关于明年的客户拓展，并非依赖单一客户的突破，而是推行一种</w:t>
            </w:r>
            <w:r>
              <w:rPr>
                <w:rFonts w:hint="eastAsia" w:ascii="宋体" w:hAnsi="宋体" w:eastAsia="宋体" w:cs="宋体"/>
                <w:b w:val="0"/>
                <w:bCs/>
                <w:iCs/>
                <w:color w:val="000000"/>
                <w:sz w:val="24"/>
                <w:lang w:val="en-US" w:eastAsia="zh-CN"/>
              </w:rPr>
              <w:t xml:space="preserve"> “</w:t>
            </w:r>
            <w:r>
              <w:rPr>
                <w:rFonts w:hint="default" w:ascii="Times New Roman" w:hAnsi="Times New Roman" w:eastAsia="华文楷体"/>
                <w:b w:val="0"/>
                <w:bCs/>
                <w:iCs/>
                <w:color w:val="000000"/>
                <w:sz w:val="24"/>
                <w:lang w:val="en-US" w:eastAsia="zh-CN"/>
              </w:rPr>
              <w:t>在深化主力客户合作的基础上，积极推动客户结构多元化</w:t>
            </w:r>
            <w:r>
              <w:rPr>
                <w:rFonts w:hint="eastAsia" w:ascii="宋体" w:hAnsi="宋体" w:eastAsia="宋体" w:cs="宋体"/>
                <w:b w:val="0"/>
                <w:bCs/>
                <w:iCs/>
                <w:color w:val="000000"/>
                <w:sz w:val="24"/>
                <w:lang w:val="en-US" w:eastAsia="zh-CN"/>
              </w:rPr>
              <w:t>”</w:t>
            </w:r>
            <w:r>
              <w:rPr>
                <w:rFonts w:hint="default" w:ascii="Times New Roman" w:hAnsi="Times New Roman" w:eastAsia="华文楷体"/>
                <w:b w:val="0"/>
                <w:bCs/>
                <w:iCs/>
                <w:color w:val="000000"/>
                <w:sz w:val="24"/>
                <w:lang w:val="en-US" w:eastAsia="zh-CN"/>
              </w:rPr>
              <w:t>的稳健平衡策略。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bookmarkStart w:id="4" w:name="OLE_LINK5"/>
            <w:r>
              <w:rPr>
                <w:rFonts w:hint="eastAsia" w:ascii="Times New Roman" w:hAnsi="Times New Roman" w:eastAsia="华文楷体"/>
                <w:b/>
                <w:bCs w:val="0"/>
                <w:iCs/>
                <w:color w:val="000000"/>
                <w:sz w:val="24"/>
                <w:lang w:val="en-US" w:eastAsia="zh-CN"/>
              </w:rPr>
              <w:t>问题9：风电齿轮箱的毛利率趋势走向如何？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4"/>
            <w:r>
              <w:rPr>
                <w:rFonts w:hint="eastAsia" w:ascii="Times New Roman" w:hAnsi="Times New Roman" w:eastAsia="华文楷体"/>
                <w:b w:val="0"/>
                <w:bCs/>
                <w:iCs/>
                <w:color w:val="000000"/>
                <w:sz w:val="24"/>
                <w:lang w:val="en-US" w:eastAsia="zh-CN"/>
              </w:rPr>
              <w:t>基于当前风电产业链的技术演进与市场格局，风电齿轮箱的毛利率趋势预计将从过往的承压阶段逐步过渡到一个相对稳定、并存在结构性改善空间的新阶段。风电齿轮箱企业的毛利率表现将更显著地分化，在技术创新、成本控制和客户结构中占据优势的头部企业，有望在行业整体的稳定期中，实现优于平均水平的毛利率表现和更强的盈利韧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bookmarkStart w:id="5" w:name="OLE_LINK6"/>
            <w:r>
              <w:rPr>
                <w:rFonts w:hint="eastAsia" w:ascii="Times New Roman" w:hAnsi="Times New Roman" w:eastAsia="华文楷体"/>
                <w:b/>
                <w:bCs w:val="0"/>
                <w:iCs/>
                <w:color w:val="000000"/>
                <w:sz w:val="24"/>
                <w:lang w:val="en-US" w:eastAsia="zh-CN"/>
              </w:rPr>
              <w:t>问题10：滚动轴承的国产化比例已经达到什么样的水平了？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5"/>
            <w:r>
              <w:rPr>
                <w:rFonts w:hint="eastAsia" w:ascii="Times New Roman" w:hAnsi="Times New Roman" w:eastAsia="华文楷体"/>
                <w:b w:val="0"/>
                <w:bCs/>
                <w:iCs/>
                <w:color w:val="000000"/>
                <w:sz w:val="24"/>
                <w:lang w:val="en-US" w:eastAsia="zh-CN"/>
              </w:rPr>
              <w:t>滚动轴承的国产化已从技术突破进入批量应用阶段，目前中低速轴承替代比例较高，高速轴承也正从小批量试用向规模化推广。公司通过参与设计、审核工艺与材料、并完成严格测试验证的全流程协同模式，确保替代安全可靠。未来在供应链安全、降本需求及国内厂商技术持续进步的驱动下，国产化比例将稳步快速提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bCs w:val="0"/>
                <w:iCs/>
                <w:color w:val="000000"/>
                <w:sz w:val="24"/>
                <w:lang w:val="en-US" w:eastAsia="zh-CN"/>
              </w:rPr>
            </w:pPr>
            <w:r>
              <w:rPr>
                <w:rFonts w:hint="eastAsia" w:ascii="Times New Roman" w:hAnsi="Times New Roman" w:eastAsia="华文楷体"/>
                <w:b/>
                <w:bCs w:val="0"/>
                <w:iCs/>
                <w:color w:val="000000"/>
                <w:sz w:val="24"/>
                <w:lang w:val="en-US" w:eastAsia="zh-CN"/>
              </w:rPr>
              <w:t>问题11：未来风电齿轮箱的市场份额分布有什么样的趋势变化？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r>
              <w:rPr>
                <w:rFonts w:hint="default" w:ascii="Times New Roman" w:hAnsi="Times New Roman" w:eastAsia="华文楷体"/>
                <w:b w:val="0"/>
                <w:bCs/>
                <w:iCs/>
                <w:color w:val="000000"/>
                <w:sz w:val="24"/>
                <w:lang w:val="en-US" w:eastAsia="zh-CN"/>
              </w:rPr>
              <w:t>全球范围来看，风电主齿轮箱行业头部化现象明显，市场集中度较高。由于风电主齿轮箱行业技术壁垒较高，伴随着风电整机大型化发展趋势及海上风电的迅速发展，配套的风电主齿轮箱研发及批量生产的难度进一步提升，头部企业具备技术与资金的先发优势，可加大研发投入与产品升级，率先抢占市场份额。除此之外，大型风电整机生产商作为主齿轮箱下游行业主要参与者对供应商认证标准较为严格，认证周期较长，一旦确定为合格供应商轻易不会更换。上述因素叠加导致了未来风电主齿轮箱行业市场需求扩大、行业竞争激烈的情况下，头部化趋势将进一步凸显，具有较强资金实力、研发实力及客户</w:t>
            </w:r>
            <w:bookmarkStart w:id="7" w:name="_GoBack"/>
            <w:bookmarkEnd w:id="7"/>
            <w:r>
              <w:rPr>
                <w:rFonts w:hint="default" w:ascii="Times New Roman" w:hAnsi="Times New Roman" w:eastAsia="华文楷体"/>
                <w:b w:val="0"/>
                <w:bCs/>
                <w:iCs/>
                <w:color w:val="000000"/>
                <w:sz w:val="24"/>
                <w:lang w:val="en-US" w:eastAsia="zh-CN"/>
              </w:rPr>
              <w:t>资源的企业将依托其已形成的护城河在市场竞争中具备一定的竞争优势。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 w:val="0"/>
                <w:bCs/>
                <w:iCs/>
                <w:color w:val="000000"/>
                <w:sz w:val="24"/>
                <w:lang w:val="en-US" w:eastAsia="zh-CN"/>
              </w:rPr>
            </w:pPr>
            <w:bookmarkStart w:id="6" w:name="OLE_LINK7"/>
            <w:r>
              <w:rPr>
                <w:rFonts w:hint="eastAsia" w:ascii="Times New Roman" w:hAnsi="Times New Roman" w:eastAsia="华文楷体"/>
                <w:b/>
                <w:bCs w:val="0"/>
                <w:iCs/>
                <w:color w:val="000000"/>
                <w:sz w:val="24"/>
                <w:lang w:val="en-US" w:eastAsia="zh-CN"/>
              </w:rPr>
              <w:t>问题12：销往海外市场的风电齿轮箱产品价格对比国内市场的差异。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6"/>
            <w:r>
              <w:rPr>
                <w:rFonts w:hint="eastAsia" w:ascii="Times New Roman" w:hAnsi="Times New Roman" w:eastAsia="华文楷体"/>
                <w:b w:val="0"/>
                <w:bCs/>
                <w:iCs/>
                <w:color w:val="000000"/>
                <w:sz w:val="24"/>
                <w:lang w:val="en-US" w:eastAsia="zh-CN"/>
              </w:rPr>
              <w:t>销往海外市场的风电齿轮箱产品价格通常高于国内市场，这主要并非因产品本身成本差异，而是由更高的综合附加值、更严苛的准入标准以及更复杂的运营成本所驱动。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关于本次活动是否涉及应当披露重大信息的说明</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本次活动不涉及未公开披露的重大信息。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附件清单（如有）</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日期</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val="en-US" w:eastAsia="zh-CN"/>
              </w:rPr>
              <w:t>2025年12月9日</w:t>
            </w:r>
          </w:p>
        </w:tc>
      </w:tr>
    </w:tbl>
    <w:p>
      <w:pPr>
        <w:rPr>
          <w:rFonts w:ascii="Times New Roman" w:hAnsi="Times New Roman" w:eastAsia="华文楷体"/>
          <w:sz w:val="24"/>
        </w:rPr>
      </w:pPr>
    </w:p>
    <w:p>
      <w:pPr>
        <w:widowControl/>
        <w:jc w:val="left"/>
        <w:rPr>
          <w:rFonts w:ascii="Times New Roman" w:hAnsi="Times New Roman" w:eastAsia="华文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30" w:right="1797" w:bottom="1440" w:left="1797" w:header="737" w:footer="68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1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3237"/>
    <w:rsid w:val="000144C4"/>
    <w:rsid w:val="0004494E"/>
    <w:rsid w:val="00071AB5"/>
    <w:rsid w:val="00077C35"/>
    <w:rsid w:val="000A4ED2"/>
    <w:rsid w:val="000B059B"/>
    <w:rsid w:val="000B6759"/>
    <w:rsid w:val="000C161D"/>
    <w:rsid w:val="0013459F"/>
    <w:rsid w:val="0017433B"/>
    <w:rsid w:val="001C4E9C"/>
    <w:rsid w:val="001E5B0E"/>
    <w:rsid w:val="002079F0"/>
    <w:rsid w:val="002241CA"/>
    <w:rsid w:val="0023431C"/>
    <w:rsid w:val="002739BD"/>
    <w:rsid w:val="002A58B1"/>
    <w:rsid w:val="002B3EB3"/>
    <w:rsid w:val="002B54AE"/>
    <w:rsid w:val="002D6DB2"/>
    <w:rsid w:val="002E2240"/>
    <w:rsid w:val="00300958"/>
    <w:rsid w:val="00302C7A"/>
    <w:rsid w:val="00312615"/>
    <w:rsid w:val="00325630"/>
    <w:rsid w:val="00331BD4"/>
    <w:rsid w:val="00334E22"/>
    <w:rsid w:val="00351F58"/>
    <w:rsid w:val="00360160"/>
    <w:rsid w:val="00361D2D"/>
    <w:rsid w:val="0038081E"/>
    <w:rsid w:val="00381E5F"/>
    <w:rsid w:val="00387DAE"/>
    <w:rsid w:val="003B3476"/>
    <w:rsid w:val="003E09D6"/>
    <w:rsid w:val="003F43E9"/>
    <w:rsid w:val="0040196F"/>
    <w:rsid w:val="00405E58"/>
    <w:rsid w:val="004134CD"/>
    <w:rsid w:val="004153F4"/>
    <w:rsid w:val="00425118"/>
    <w:rsid w:val="0043372C"/>
    <w:rsid w:val="00433836"/>
    <w:rsid w:val="00462055"/>
    <w:rsid w:val="004710A1"/>
    <w:rsid w:val="004913BC"/>
    <w:rsid w:val="00492BBF"/>
    <w:rsid w:val="00494A95"/>
    <w:rsid w:val="004B0B73"/>
    <w:rsid w:val="004B77A0"/>
    <w:rsid w:val="004C0357"/>
    <w:rsid w:val="004D6307"/>
    <w:rsid w:val="004D7FAC"/>
    <w:rsid w:val="004E7DAE"/>
    <w:rsid w:val="00500654"/>
    <w:rsid w:val="0050343A"/>
    <w:rsid w:val="00515810"/>
    <w:rsid w:val="0052341E"/>
    <w:rsid w:val="00523922"/>
    <w:rsid w:val="005263AA"/>
    <w:rsid w:val="0054044A"/>
    <w:rsid w:val="005B4322"/>
    <w:rsid w:val="005F1A92"/>
    <w:rsid w:val="005F32CA"/>
    <w:rsid w:val="006059BD"/>
    <w:rsid w:val="00612813"/>
    <w:rsid w:val="00623311"/>
    <w:rsid w:val="00644768"/>
    <w:rsid w:val="00685507"/>
    <w:rsid w:val="006879CB"/>
    <w:rsid w:val="006B5C83"/>
    <w:rsid w:val="006C36EA"/>
    <w:rsid w:val="006D403E"/>
    <w:rsid w:val="00710E31"/>
    <w:rsid w:val="00712276"/>
    <w:rsid w:val="0071616D"/>
    <w:rsid w:val="00725F7E"/>
    <w:rsid w:val="0074039A"/>
    <w:rsid w:val="00781BAC"/>
    <w:rsid w:val="007C0148"/>
    <w:rsid w:val="007C74FA"/>
    <w:rsid w:val="007D5EBF"/>
    <w:rsid w:val="007E3476"/>
    <w:rsid w:val="007F3235"/>
    <w:rsid w:val="0080146E"/>
    <w:rsid w:val="00803D91"/>
    <w:rsid w:val="0081618F"/>
    <w:rsid w:val="00822BD6"/>
    <w:rsid w:val="0082672A"/>
    <w:rsid w:val="008328C2"/>
    <w:rsid w:val="0084662D"/>
    <w:rsid w:val="00854004"/>
    <w:rsid w:val="0086040F"/>
    <w:rsid w:val="00880FC4"/>
    <w:rsid w:val="008B47B8"/>
    <w:rsid w:val="008C1D0E"/>
    <w:rsid w:val="008D13EA"/>
    <w:rsid w:val="008D66DD"/>
    <w:rsid w:val="008E2265"/>
    <w:rsid w:val="00905937"/>
    <w:rsid w:val="009478D9"/>
    <w:rsid w:val="009900EE"/>
    <w:rsid w:val="00990AE4"/>
    <w:rsid w:val="00997BB5"/>
    <w:rsid w:val="009A0BFF"/>
    <w:rsid w:val="009B4B8D"/>
    <w:rsid w:val="009D4444"/>
    <w:rsid w:val="00A025F1"/>
    <w:rsid w:val="00A04EF8"/>
    <w:rsid w:val="00A17E32"/>
    <w:rsid w:val="00A35071"/>
    <w:rsid w:val="00A36119"/>
    <w:rsid w:val="00A44A6C"/>
    <w:rsid w:val="00A71887"/>
    <w:rsid w:val="00A83CC2"/>
    <w:rsid w:val="00A8567B"/>
    <w:rsid w:val="00A860A0"/>
    <w:rsid w:val="00AC63E6"/>
    <w:rsid w:val="00AF7782"/>
    <w:rsid w:val="00B01B7E"/>
    <w:rsid w:val="00B102BD"/>
    <w:rsid w:val="00B650AC"/>
    <w:rsid w:val="00BB3EE8"/>
    <w:rsid w:val="00BB5B5A"/>
    <w:rsid w:val="00BC1881"/>
    <w:rsid w:val="00BE4C86"/>
    <w:rsid w:val="00BE6811"/>
    <w:rsid w:val="00C0730D"/>
    <w:rsid w:val="00C21305"/>
    <w:rsid w:val="00C33351"/>
    <w:rsid w:val="00C33667"/>
    <w:rsid w:val="00C50F3E"/>
    <w:rsid w:val="00C63EDF"/>
    <w:rsid w:val="00C7268F"/>
    <w:rsid w:val="00C931DF"/>
    <w:rsid w:val="00CA4D3E"/>
    <w:rsid w:val="00CB32F5"/>
    <w:rsid w:val="00CF70BF"/>
    <w:rsid w:val="00D064B1"/>
    <w:rsid w:val="00D44B54"/>
    <w:rsid w:val="00D743F3"/>
    <w:rsid w:val="00D82513"/>
    <w:rsid w:val="00DC13E8"/>
    <w:rsid w:val="00DE4790"/>
    <w:rsid w:val="00DF4636"/>
    <w:rsid w:val="00DF4BB6"/>
    <w:rsid w:val="00E470C2"/>
    <w:rsid w:val="00E90303"/>
    <w:rsid w:val="00E9327D"/>
    <w:rsid w:val="00EE241D"/>
    <w:rsid w:val="00EE6DA8"/>
    <w:rsid w:val="00F14245"/>
    <w:rsid w:val="00F435F9"/>
    <w:rsid w:val="00F46CA0"/>
    <w:rsid w:val="00F54506"/>
    <w:rsid w:val="00F56194"/>
    <w:rsid w:val="00F83F9C"/>
    <w:rsid w:val="00F95168"/>
    <w:rsid w:val="00FA0D44"/>
    <w:rsid w:val="00FC574D"/>
    <w:rsid w:val="00FC7ACF"/>
    <w:rsid w:val="00FD4854"/>
    <w:rsid w:val="08C808C1"/>
    <w:rsid w:val="092F7EC0"/>
    <w:rsid w:val="0B55365C"/>
    <w:rsid w:val="116E602C"/>
    <w:rsid w:val="117F2C6F"/>
    <w:rsid w:val="161C14DA"/>
    <w:rsid w:val="17353237"/>
    <w:rsid w:val="1ECB56F7"/>
    <w:rsid w:val="2D782FCB"/>
    <w:rsid w:val="2F4335DC"/>
    <w:rsid w:val="36F71AE2"/>
    <w:rsid w:val="374953E8"/>
    <w:rsid w:val="39A2026C"/>
    <w:rsid w:val="39C44B4D"/>
    <w:rsid w:val="3E0F2786"/>
    <w:rsid w:val="42FD36E9"/>
    <w:rsid w:val="442370E9"/>
    <w:rsid w:val="462514F4"/>
    <w:rsid w:val="483B1CF7"/>
    <w:rsid w:val="4FFFCAFE"/>
    <w:rsid w:val="566F654E"/>
    <w:rsid w:val="5A33385C"/>
    <w:rsid w:val="5CAF40AC"/>
    <w:rsid w:val="5CB13D29"/>
    <w:rsid w:val="5D1B08E5"/>
    <w:rsid w:val="6780210D"/>
    <w:rsid w:val="6D416D73"/>
    <w:rsid w:val="71365500"/>
    <w:rsid w:val="71FA7B65"/>
    <w:rsid w:val="79DBA059"/>
    <w:rsid w:val="7A444920"/>
    <w:rsid w:val="7BD5BBAD"/>
    <w:rsid w:val="7FA178CD"/>
    <w:rsid w:val="7FFF9C4C"/>
    <w:rsid w:val="AFBB2423"/>
    <w:rsid w:val="B76F28A5"/>
    <w:rsid w:val="B9FDE687"/>
    <w:rsid w:val="BDFF8A21"/>
    <w:rsid w:val="D4FFF143"/>
    <w:rsid w:val="D7BF1A25"/>
    <w:rsid w:val="FF7E23B7"/>
    <w:rsid w:val="FFD9AE20"/>
    <w:rsid w:val="FFDD8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szCs w:val="22"/>
    </w:rPr>
  </w:style>
  <w:style w:type="paragraph" w:styleId="4">
    <w:name w:val="Date"/>
    <w:basedOn w:val="1"/>
    <w:next w:val="1"/>
    <w:link w:val="15"/>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0"/>
    <w:rPr>
      <w:b/>
      <w:bCs/>
      <w:szCs w:val="24"/>
    </w:r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日期 Char"/>
    <w:basedOn w:val="12"/>
    <w:link w:val="4"/>
    <w:qFormat/>
    <w:uiPriority w:val="0"/>
    <w:rPr>
      <w:rFonts w:ascii="Calibri" w:hAnsi="Calibri"/>
      <w:kern w:val="2"/>
      <w:sz w:val="21"/>
      <w:szCs w:val="24"/>
    </w:rPr>
  </w:style>
  <w:style w:type="character" w:customStyle="1" w:styleId="16">
    <w:name w:val="批注文字 Char"/>
    <w:basedOn w:val="12"/>
    <w:link w:val="3"/>
    <w:qFormat/>
    <w:uiPriority w:val="99"/>
    <w:rPr>
      <w:rFonts w:ascii="Calibri" w:hAnsi="Calibri"/>
      <w:kern w:val="2"/>
      <w:sz w:val="21"/>
      <w:szCs w:val="22"/>
    </w:rPr>
  </w:style>
  <w:style w:type="character" w:customStyle="1" w:styleId="17">
    <w:name w:val="批注框文本 Char"/>
    <w:basedOn w:val="12"/>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主题 Char"/>
    <w:basedOn w:val="16"/>
    <w:link w:val="9"/>
    <w:semiHidden/>
    <w:qFormat/>
    <w:uiPriority w:val="0"/>
    <w:rPr>
      <w:rFonts w:ascii="Calibri" w:hAnsi="Calibri"/>
      <w:b/>
      <w:bCs/>
      <w:kern w:val="2"/>
      <w:sz w:val="21"/>
      <w:szCs w:val="24"/>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 w:type="character" w:customStyle="1" w:styleId="21">
    <w:name w:val="标题 2 Char"/>
    <w:basedOn w:val="12"/>
    <w:link w:val="2"/>
    <w:qFormat/>
    <w:uiPriority w:val="9"/>
    <w:rPr>
      <w:rFonts w:ascii="宋体" w:hAnsi="宋体" w:cs="宋体"/>
      <w:b/>
      <w:bCs/>
      <w:sz w:val="36"/>
      <w:szCs w:val="36"/>
    </w:rPr>
  </w:style>
  <w:style w:type="character" w:customStyle="1" w:styleId="22">
    <w:name w:val="bgchighlight-ancho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278</Characters>
  <Lines>2</Lines>
  <Paragraphs>1</Paragraphs>
  <TotalTime>25</TotalTime>
  <ScaleCrop>false</ScaleCrop>
  <LinksUpToDate>false</LinksUpToDate>
  <CharactersWithSpaces>325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2025-12-03T07:08:00Z</dcterms:created>
  <dc:creator>夜火</dc:creator>
  <cp:lastModifiedBy>Administrator</cp:lastModifiedBy>
  <cp:lastPrinted>2021-06-20T07:26:00Z</cp:lastPrinted>
  <dcterms:modified xsi:type="dcterms:W3CDTF">2025-12-10T09:40:00Z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E34121EC2E7A401383F62AEE581075A2</vt:lpwstr>
  </property>
</Properties>
</file>