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1" w:name="_GoBack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szCs w:val="20"/>
          <w:lang w:val="en-US"/>
        </w:rPr>
        <w:t>144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  <w:bookmarkEnd w:id="1"/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V8uZ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pBdr>
          <w:bottom w:val="none" w:color="auto" w:sz="0" w:space="0"/>
        </w:pBdr>
        <w:adjustRightInd w:val="0"/>
        <w:snapToGrid w:val="0"/>
        <w:spacing w:afterLines="0" w:line="240" w:lineRule="auto"/>
        <w:jc w:val="center"/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</w:pPr>
      <w:bookmarkStart w:id="0" w:name="quanwen"/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关于对超讯通信股份有限公司采取责令</w:t>
      </w: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  <w:lang w:eastAsia="zh-CN"/>
        </w:rPr>
        <w:t>改</w:t>
      </w: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正</w:t>
      </w:r>
    </w:p>
    <w:p>
      <w:pPr>
        <w:pStyle w:val="4"/>
        <w:widowControl/>
        <w:pBdr>
          <w:bottom w:val="none" w:color="auto" w:sz="0" w:space="0"/>
        </w:pBdr>
        <w:adjustRightInd w:val="0"/>
        <w:snapToGrid w:val="0"/>
        <w:spacing w:afterLines="0" w:line="240" w:lineRule="auto"/>
        <w:jc w:val="center"/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措施并对梁建华、钟海辉</w:t>
      </w: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  <w:lang w:eastAsia="zh-CN"/>
        </w:rPr>
        <w:t>、</w:t>
      </w: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胡红月</w:t>
      </w:r>
    </w:p>
    <w:p>
      <w:pPr>
        <w:pStyle w:val="4"/>
        <w:widowControl/>
        <w:pBdr>
          <w:bottom w:val="none" w:color="auto" w:sz="0" w:space="0"/>
        </w:pBdr>
        <w:adjustRightInd w:val="0"/>
        <w:snapToGrid w:val="0"/>
        <w:spacing w:afterLines="0" w:line="240" w:lineRule="auto"/>
        <w:jc w:val="center"/>
        <w:rPr>
          <w:rFonts w:hint="default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采取出具警示函措施的决定</w:t>
      </w:r>
    </w:p>
    <w:p>
      <w:pPr>
        <w:adjustRightInd w:val="0"/>
        <w:snapToGrid w:val="0"/>
        <w:spacing w:afterLines="0" w:line="240" w:lineRule="auto"/>
        <w:rPr>
          <w:rFonts w:hint="eastAsia" w:ascii="方正小标宋简体" w:hAnsi="方正小标宋简体" w:eastAsia="方正小标宋简体" w:cs="方正小标宋简体"/>
          <w:spacing w:val="8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48" w:lineRule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超讯通信股份有限公司，梁建华、钟海辉、胡红月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48" w:lineRule="auto"/>
        <w:ind w:firstLine="640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根据《上市公司现场检查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规则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证监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会公告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号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）等规定，我局对</w:t>
      </w:r>
      <w:r>
        <w:rPr>
          <w:rFonts w:hint="default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超讯通信股份有限公司</w:t>
      </w:r>
      <w:r>
        <w:rPr>
          <w:rFonts w:hint="eastAsia" w:ascii="仿宋_GB2312" w:hAnsi="仿宋_GB2312" w:eastAsia="仿宋_GB2312" w:cs="宋体"/>
          <w:snapToGrid w:val="0"/>
          <w:color w:val="auto"/>
          <w:spacing w:val="8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以下简称</w:t>
      </w:r>
      <w:r>
        <w:rPr>
          <w:rFonts w:hint="default" w:ascii="仿宋_GB2312" w:hAns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超讯通信</w:t>
      </w:r>
      <w:r>
        <w:rPr>
          <w:rFonts w:hint="eastAsia" w:ascii="仿宋_GB2312" w:hAnsi="Times New Roman" w:eastAsia="仿宋_GB2312" w:cs="黑体"/>
          <w:spacing w:val="-6"/>
          <w:kern w:val="2"/>
          <w:sz w:val="32"/>
          <w:szCs w:val="32"/>
          <w:highlight w:val="none"/>
          <w:lang w:val="en-US" w:eastAsia="zh-CN" w:bidi="ar-SA"/>
        </w:rPr>
        <w:t>或公司</w:t>
      </w:r>
      <w:r>
        <w:rPr>
          <w:rFonts w:hint="eastAsia" w:ascii="仿宋_GB2312" w:hAnsi="仿宋_GB2312" w:eastAsia="仿宋_GB2312" w:cs="宋体"/>
          <w:snapToGrid w:val="0"/>
          <w:color w:val="auto"/>
          <w:spacing w:val="8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进行了现场检查，发现公司存在以下问题：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48" w:lineRule="auto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一、收入核算不准确问题。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超讯通信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2023年和2024年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前三季度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定制算力服务器业务采用总额法确认收入，但公司实际以通知发货的形式要求供应商直接将商品运送至客户处，有关商品运输由上游供应商承担，公司没有通过重大服务将该产品与其他商品整合再出让给客户，公司在该业务中应当被认定为代理人，按照净额法核算相关收入。上述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《企业会计准则第14号——收入》第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导致公司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年年度报告以及2024年一季报、半年报、三季报相关信息披露不准确。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48" w:lineRule="auto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二、定期报告收入跨期核算问题。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超讯通信2024年7月、8月向客户交付两批算力服务器并获取了客户签收单据，由于业务人员未及时在产值系统中提交交货数据，导致公司2024年前三季度少计营业收入和营业利润。上述情形不符合《企业会计准则第14号——收入》第四条规定，导致公司2024年三季度财务报告相关信息披露不准确。</w:t>
      </w:r>
    </w:p>
    <w:p>
      <w:pPr>
        <w:overflowPunct w:val="0"/>
        <w:adjustRightInd w:val="0"/>
        <w:snapToGrid w:val="0"/>
        <w:spacing w:beforeLines="0" w:afterLines="0" w:line="348" w:lineRule="auto"/>
        <w:ind w:firstLine="640" w:firstLineChars="200"/>
        <w:textAlignment w:val="auto"/>
        <w:outlineLvl w:val="2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三、内部控制不规范。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客户信用管理内部控制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存在缺陷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超讯通信</w:t>
      </w:r>
      <w:r>
        <w:rPr>
          <w:rFonts w:hint="eastAsia" w:ascii="仿宋_GB2312" w:hAnsi="仿宋_GB2312" w:eastAsia="仿宋_GB2312" w:cs="仿宋_GB2312"/>
          <w:sz w:val="32"/>
          <w:szCs w:val="32"/>
        </w:rPr>
        <w:t>在GPU购销业务和定制型算力服务器业务中对同一客户的授信额度过大，与有关客户的经营实力和资信状况不匹配，且长期对应收账款和其他应收款的账期管理过于宽松，未采取实质有效措施追回欠款，导致公司被供应商起诉并冻结银行账户，影响日常经营运作。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不符合《企业内部控制应用指引第6号—资金活动》（财会〔2010〕11号）第十八条、第二十条，《企业内部控制应用指引第9号—销售业务》（财会〔2010〕11号）第四条、第五条、第十条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违反不相容职务分离控制的要求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。超讯通信</w:t>
      </w:r>
      <w:r>
        <w:rPr>
          <w:rFonts w:hint="eastAsia" w:ascii="仿宋_GB2312" w:hAnsi="仿宋_GB2312" w:eastAsia="仿宋_GB2312" w:cs="仿宋_GB2312"/>
          <w:sz w:val="32"/>
          <w:szCs w:val="32"/>
        </w:rPr>
        <w:t>有员工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为部分供应商提供服务，反映公司与人力资源相关的内部控制环境和控制活动薄弱，公司对组织架构与控制措施的执行不到位，治理层和管理层对内部控制的重视程度不足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。上述情形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不符合《企业内部控制基本规范》第十二条、第十五条、第十六条、二十九条，《企业内部控制应用指引第1号—组织架构》第七条，《企业内部控制应用指引第3号—人力资源》第六条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规定。公司的内部控制自我评价报告未如实反映上述问题，相关内容不准确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48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上述问题反映超讯通信披露的相关财务数据、内部控制自我评价报告不准确，违反了《上市公司信息披露管理办法》（证监会令第182号，下同）第三条第一款的规定。梁建华作为公司董事长，钟海辉作为公司总经理，胡红月作为时任财务总监，未按照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上市公司信息披露管理办法》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第四条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规定履行勤勉尽责义务，对公司上述违规行为负有主要责任。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48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上市公司信息披露管理办法》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五十二条规定，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我局决定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对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超讯通信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采取责令改正的行政监管措施，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梁建华、钟海辉、胡红月采取出具警示函的行政监管措施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。你们应认真吸取教训，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采取有效措施切实整改，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加强对证券法律法规的学习，提升依法合规履职意识，杜绝此类问题再次发生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。同时公司应对相关责任人员进行内部问责，于收到本决定书30日内完成整改，向我局报送公司整改及内部问责情况报告，并抄报上海证券交易所。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48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也可以在收到本决定书之日起6个月内向有管辖权的人民法院提起诉讼。复议与诉讼期间，上述监督管理措施不停止执行。</w:t>
      </w:r>
    </w:p>
    <w:p>
      <w:pPr>
        <w:pStyle w:val="9"/>
        <w:widowControl w:val="0"/>
        <w:overflowPunct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eastAsia" w:ascii="仿宋_GB2312" w:cs="Times New Roman"/>
          <w:color w:val="000000"/>
          <w:spacing w:val="10"/>
          <w:sz w:val="32"/>
          <w:szCs w:val="32"/>
          <w:lang w:val="en-US" w:eastAsia="zh-CN"/>
        </w:rPr>
        <w:t>2</w:t>
      </w:r>
      <w:r>
        <w:rPr>
          <w:rFonts w:hint="default" w:ascii="仿宋_GB2312" w:cs="Times New Roman"/>
          <w:color w:val="000000"/>
          <w:spacing w:val="1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snapToGrid w:val="0"/>
        <w:rPr>
          <w:rFonts w:hint="eastAsia"/>
          <w:sz w:val="52"/>
          <w:szCs w:val="7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eastAsia="长城仿宋"/>
          <w:sz w:val="28"/>
          <w:highlight w:val="none"/>
        </w:rPr>
      </w:pPr>
      <w:r>
        <w:rPr>
          <w:rFonts w:hint="eastAsia" w:ascii="仿宋_GB2312" w:eastAsia="仿宋_GB2312"/>
          <w:spacing w:val="8"/>
          <w:sz w:val="28"/>
          <w:highlight w:val="none"/>
        </w:rPr>
        <w:t>抄送：证监会上市司、法治司；上海证券交易所。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eastAsia="仿宋_GB2312"/>
          <w:spacing w:val="8"/>
          <w:sz w:val="28"/>
          <w:highlight w:val="none"/>
        </w:rPr>
      </w:pPr>
      <w:r>
        <w:rPr>
          <w:rFonts w:hint="eastAsia" w:ascii="仿宋_GB2312" w:eastAsia="仿宋_GB2312"/>
          <w:spacing w:val="8"/>
          <w:sz w:val="28"/>
          <w:highlight w:val="none"/>
        </w:rPr>
        <w:t xml:space="preserve">广东证监局办公室       </w:t>
      </w:r>
      <w:r>
        <w:rPr>
          <w:rFonts w:hint="default" w:ascii="仿宋_GB2312" w:eastAsia="仿宋_GB2312"/>
          <w:spacing w:val="8"/>
          <w:sz w:val="28"/>
          <w:highlight w:val="none"/>
          <w:lang w:val="en-US"/>
        </w:rPr>
        <w:t xml:space="preserve">  </w:t>
      </w:r>
      <w:r>
        <w:rPr>
          <w:rFonts w:hint="eastAsia" w:ascii="仿宋_GB2312" w:eastAsia="仿宋_GB2312"/>
          <w:spacing w:val="8"/>
          <w:sz w:val="28"/>
          <w:highlight w:val="none"/>
        </w:rPr>
        <w:t xml:space="preserve"> </w:t>
      </w:r>
      <w:r>
        <w:rPr>
          <w:rFonts w:hint="eastAsia" w:ascii="仿宋_GB2312" w:eastAsia="仿宋_GB2312"/>
          <w:spacing w:val="8"/>
          <w:sz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pacing w:val="8"/>
          <w:sz w:val="28"/>
          <w:highlight w:val="none"/>
        </w:rPr>
        <w:t xml:space="preserve">   </w:t>
      </w:r>
      <w:r>
        <w:rPr>
          <w:rFonts w:hint="default" w:ascii="仿宋_GB2312" w:eastAsia="仿宋_GB2312"/>
          <w:spacing w:val="8"/>
          <w:sz w:val="28"/>
          <w:highlight w:val="none"/>
          <w:lang w:val="en-US"/>
        </w:rPr>
        <w:t xml:space="preserve">    </w:t>
      </w:r>
      <w:r>
        <w:rPr>
          <w:rFonts w:hint="default" w:ascii="仿宋_GB2312" w:eastAsia="仿宋_GB2312"/>
          <w:spacing w:val="8"/>
          <w:sz w:val="28"/>
          <w:highlight w:val="none"/>
          <w:lang w:val="en" w:eastAsia="zh-CN"/>
        </w:rPr>
        <w:t>202</w:t>
      </w:r>
      <w:r>
        <w:rPr>
          <w:rFonts w:hint="default" w:ascii="仿宋_GB2312" w:eastAsia="仿宋_GB2312"/>
          <w:spacing w:val="8"/>
          <w:sz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spacing w:val="8"/>
          <w:sz w:val="28"/>
          <w:highlight w:val="none"/>
        </w:rPr>
        <w:t>年</w:t>
      </w:r>
      <w:r>
        <w:rPr>
          <w:rFonts w:hint="default" w:ascii="仿宋_GB2312" w:eastAsia="仿宋_GB2312"/>
          <w:spacing w:val="8"/>
          <w:sz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spacing w:val="8"/>
          <w:sz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spacing w:val="8"/>
          <w:sz w:val="28"/>
          <w:highlight w:val="none"/>
        </w:rPr>
        <w:t>月</w:t>
      </w:r>
      <w:r>
        <w:rPr>
          <w:rFonts w:hint="default" w:ascii="仿宋_GB2312" w:eastAsia="仿宋_GB2312"/>
          <w:spacing w:val="8"/>
          <w:sz w:val="28"/>
          <w:highlight w:val="none"/>
          <w:lang w:val="en-US"/>
        </w:rPr>
        <w:t>28</w:t>
      </w:r>
      <w:r>
        <w:rPr>
          <w:rFonts w:hint="eastAsia" w:ascii="仿宋_GB2312" w:eastAsia="仿宋_GB2312"/>
          <w:spacing w:val="8"/>
          <w:sz w:val="28"/>
          <w:highlight w:val="none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eastAsia="仿宋_GB2312"/>
          <w:spacing w:val="8"/>
          <w:sz w:val="2"/>
          <w:szCs w:val="2"/>
          <w:highlight w:val="none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宋体"/>
    <w:panose1 w:val="02010609000101010101"/>
    <w:charset w:val="00"/>
    <w:family w:val="auto"/>
    <w:pitch w:val="default"/>
    <w:sig w:usb0="00000000" w:usb1="00000000" w:usb2="0000001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AE26A"/>
    <w:rsid w:val="0FA7A04F"/>
    <w:rsid w:val="1FFF218D"/>
    <w:rsid w:val="3EFFA826"/>
    <w:rsid w:val="3F979AAC"/>
    <w:rsid w:val="4FFF7FB6"/>
    <w:rsid w:val="5DFF5D61"/>
    <w:rsid w:val="5EE3091D"/>
    <w:rsid w:val="5FFFDDDD"/>
    <w:rsid w:val="6FDE2E20"/>
    <w:rsid w:val="6FEFC290"/>
    <w:rsid w:val="77AAE26A"/>
    <w:rsid w:val="7D753665"/>
    <w:rsid w:val="7E9D1A9A"/>
    <w:rsid w:val="7F6FC645"/>
    <w:rsid w:val="7FF742C7"/>
    <w:rsid w:val="97D74816"/>
    <w:rsid w:val="BD7DA8E2"/>
    <w:rsid w:val="BFDF5C9F"/>
    <w:rsid w:val="BFFE881F"/>
    <w:rsid w:val="BFFF7EC9"/>
    <w:rsid w:val="C3178458"/>
    <w:rsid w:val="EFF87D32"/>
    <w:rsid w:val="F7E74AEC"/>
    <w:rsid w:val="F8F7DD65"/>
    <w:rsid w:val="FBAF72B1"/>
    <w:rsid w:val="FD8D9843"/>
    <w:rsid w:val="FE7F7D72"/>
    <w:rsid w:val="FF38E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paragraph" w:customStyle="1" w:styleId="9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10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2025-08-20T17:17:00Z</dcterms:created>
  <dc:creator>谭裔江</dc:creator>
  <cp:lastModifiedBy>谭裔江</cp:lastModifiedBy>
  <dcterms:modified xsi:type="dcterms:W3CDTF">2025-12-01T13:52:30Z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16C780130ABD9EEC1E2D2D6915EF9D82</vt:lpwstr>
  </property>
</Properties>
</file>