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0459C735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D70A58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125FA8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  <w:r w:rsidR="003B5711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31558454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B11C8A" w:rsidR="003D068E" w:rsidRDefault="00ED7FD5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0001A36E" w:rsidR="003D068E" w:rsidRDefault="00430711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建信养老</w:t>
            </w:r>
            <w:r w:rsidR="008977A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金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3B89B90B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ED7FD5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43071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601FA41D" w:rsidR="003D068E" w:rsidRDefault="00430711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5BBFBA1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朱磊、崔龙峰、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09B23C6D" w14:textId="223C692A" w:rsidR="00A322FC" w:rsidRPr="00A322FC" w:rsidRDefault="00A322FC" w:rsidP="00A322FC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公司目前主营业务燃油系统中</w:t>
            </w:r>
            <w:proofErr w:type="gramStart"/>
            <w:r w:rsidR="008C1F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</w:t>
            </w:r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发展情况怎么样？</w:t>
            </w:r>
          </w:p>
          <w:p w14:paraId="3DFAE8F8" w14:textId="78ABD7C6" w:rsidR="00E17303" w:rsidRDefault="00A322FC" w:rsidP="00A322F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答：公司的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高压燃油系统在插电式（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含增程式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）混合动力车上已得到商业化推广和应用。得益于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市场的蓬勃发展，公司获得的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新能源混动燃油系统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订单大幅超过传统燃油系统订单。与此同时，公司通过对产品设计方案的优化、关键零部件的自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和生产过程的持续改进，实现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了混动高压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燃油系统的降本增效，产品市场竞争力进一步提升。</w:t>
            </w:r>
          </w:p>
          <w:p w14:paraId="4C273874" w14:textId="70D40897" w:rsidR="00143431" w:rsidRPr="00143431" w:rsidRDefault="00143431" w:rsidP="00143431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和传统燃油系统在单件价值方面是否有区别？</w:t>
            </w:r>
          </w:p>
          <w:p w14:paraId="4ECDEDDD" w14:textId="35689749" w:rsidR="00143431" w:rsidRDefault="00143431" w:rsidP="00A322F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</w:t>
            </w:r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lastRenderedPageBreak/>
              <w:t>相比传统燃油车更为复杂。</w:t>
            </w:r>
            <w:proofErr w:type="gramStart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39BEC170" w14:textId="77777777" w:rsidR="009B344A" w:rsidRPr="009B344A" w:rsidRDefault="009B344A" w:rsidP="009B344A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08808BE3" w14:textId="6366B151" w:rsidR="009B344A" w:rsidRDefault="009B344A" w:rsidP="009B344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  <w:p w14:paraId="52D0C0ED" w14:textId="77777777" w:rsidR="009B344A" w:rsidRDefault="009B344A" w:rsidP="009B344A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请介绍目前亚普海外业务的发展情况？</w:t>
            </w:r>
          </w:p>
          <w:p w14:paraId="75AD5D72" w14:textId="7A6A9A91" w:rsidR="009B344A" w:rsidRDefault="009B344A" w:rsidP="009B344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答：公司于</w:t>
            </w: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年明确提出“开放式合作，自主发展”的经营发展战略，开始了国际化发展的征程。通过产品输出、技术输出、海外建厂和国际并购的方式，公司目前已拥有</w:t>
            </w: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个境外生产基地，分别位于印度、俄罗斯、捷克、乌兹别克斯坦、美国、墨西哥、巴西。当前，公司海外布局逐步完善，海外公司经营稳步发展。</w:t>
            </w:r>
          </w:p>
          <w:p w14:paraId="3FCDF7A8" w14:textId="77777777" w:rsidR="009B344A" w:rsidRDefault="009B344A" w:rsidP="009B344A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公司海外业务近几年逐渐向好的原因是？</w:t>
            </w:r>
          </w:p>
          <w:p w14:paraId="66B8A442" w14:textId="165EB2DD" w:rsidR="009B344A" w:rsidRDefault="009B344A" w:rsidP="009B344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主要有几个方面原因：一是公司海外工厂通过智能化升级改造，提升了生产效率，降低了人工成本；二是强化了总部对海外子公司的管理提升，提高了海外工厂的生产和运营管理效率；三是海外汽车市场相较国内市场纯电动汽车市场占比较低，燃油汽车</w:t>
            </w:r>
            <w:proofErr w:type="gramStart"/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及混动汽车</w:t>
            </w:r>
            <w:proofErr w:type="gramEnd"/>
            <w:r w:rsidRPr="009B344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仍占据市场绝对主流，为公司燃油系统业务的发展提供了相对良好的环境。</w:t>
            </w:r>
          </w:p>
          <w:p w14:paraId="449388E5" w14:textId="7BB31260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今年</w:t>
            </w: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收购的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11296A71" w14:textId="334C07ED" w:rsidR="00D51EFF" w:rsidRDefault="00544069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</w:t>
            </w: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lastRenderedPageBreak/>
              <w:t>高性能电动化的关键核心部件之一，主要用于新能源汽车电驱动系统之中，为新能源汽车电驱动系统的核心传感器。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40FFE671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D51EF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F74F2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47A2E17D" w:rsidR="00F10C8A" w:rsidRDefault="00F10C8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E789" w14:textId="77777777" w:rsidR="0041668A" w:rsidRDefault="0041668A" w:rsidP="00733C1E">
      <w:r>
        <w:separator/>
      </w:r>
    </w:p>
  </w:endnote>
  <w:endnote w:type="continuationSeparator" w:id="0">
    <w:p w14:paraId="5B9BD5CA" w14:textId="77777777" w:rsidR="0041668A" w:rsidRDefault="0041668A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6697" w14:textId="77777777" w:rsidR="0041668A" w:rsidRDefault="0041668A" w:rsidP="00733C1E">
      <w:r>
        <w:separator/>
      </w:r>
    </w:p>
  </w:footnote>
  <w:footnote w:type="continuationSeparator" w:id="0">
    <w:p w14:paraId="0E0DD7AF" w14:textId="77777777" w:rsidR="0041668A" w:rsidRDefault="0041668A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2C54F9BC"/>
    <w:lvl w:ilvl="0" w:tplc="BF12B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22F5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B5711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68A"/>
    <w:rsid w:val="00416FD6"/>
    <w:rsid w:val="00430711"/>
    <w:rsid w:val="0043274B"/>
    <w:rsid w:val="0044126A"/>
    <w:rsid w:val="0044153D"/>
    <w:rsid w:val="00441804"/>
    <w:rsid w:val="00467155"/>
    <w:rsid w:val="00467BFE"/>
    <w:rsid w:val="0047215E"/>
    <w:rsid w:val="00473227"/>
    <w:rsid w:val="00474ECF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69F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0BB5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84522"/>
    <w:rsid w:val="008929BA"/>
    <w:rsid w:val="0089578E"/>
    <w:rsid w:val="008977A4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44A"/>
    <w:rsid w:val="009B3D17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322FC"/>
    <w:rsid w:val="00A3376B"/>
    <w:rsid w:val="00A44553"/>
    <w:rsid w:val="00A539D1"/>
    <w:rsid w:val="00A556AC"/>
    <w:rsid w:val="00A573E3"/>
    <w:rsid w:val="00A613AE"/>
    <w:rsid w:val="00A61A1A"/>
    <w:rsid w:val="00A62514"/>
    <w:rsid w:val="00A656BF"/>
    <w:rsid w:val="00A7312A"/>
    <w:rsid w:val="00A809BB"/>
    <w:rsid w:val="00A913B2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B0F8C"/>
    <w:rsid w:val="00BC2BDE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6AEE"/>
    <w:rsid w:val="00D51EFF"/>
    <w:rsid w:val="00D54411"/>
    <w:rsid w:val="00D6624A"/>
    <w:rsid w:val="00D70A58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74F2B"/>
    <w:rsid w:val="00F80D72"/>
    <w:rsid w:val="00F81F3D"/>
    <w:rsid w:val="00F82F72"/>
    <w:rsid w:val="00F91AFF"/>
    <w:rsid w:val="00F9299B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4E6B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4</cp:revision>
  <cp:lastPrinted>2025-05-07T01:43:00Z</cp:lastPrinted>
  <dcterms:created xsi:type="dcterms:W3CDTF">2025-12-11T01:25:00Z</dcterms:created>
  <dcterms:modified xsi:type="dcterms:W3CDTF">2025-12-11T01:30:00Z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