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sz w:val="28"/>
        </w:rPr>
        <w:t>编号：</w:t>
      </w:r>
      <w:r>
        <w:rPr>
          <w:rFonts w:hint="eastAsia"/>
          <w:sz w:val="28"/>
        </w:rPr>
        <w:t>2025-007</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ascii="Times New Roman"/>
                <w:sz w:val="26"/>
              </w:rPr>
            </w:pPr>
            <w:r>
              <w:rPr>
                <w:rFonts w:hint="eastAsia" w:ascii="Times New Roman"/>
                <w:sz w:val="22"/>
                <w:szCs w:val="20"/>
              </w:rPr>
              <w:t>山西证券，同花顺，长城基金，东方证券，聚石基金，杭州领睿</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ascii="Times New Roman"/>
                <w:sz w:val="26"/>
              </w:rPr>
            </w:pPr>
            <w:r>
              <w:rPr>
                <w:rFonts w:hint="eastAsia" w:ascii="Times New Roman"/>
                <w:sz w:val="22"/>
                <w:szCs w:val="20"/>
              </w:rPr>
              <w:t>2</w:t>
            </w:r>
            <w:r>
              <w:rPr>
                <w:rFonts w:ascii="Times New Roman"/>
                <w:sz w:val="22"/>
                <w:szCs w:val="20"/>
              </w:rPr>
              <w:t>02</w:t>
            </w:r>
            <w:r>
              <w:rPr>
                <w:rFonts w:hint="eastAsia" w:ascii="Times New Roman"/>
                <w:sz w:val="22"/>
                <w:szCs w:val="20"/>
              </w:rPr>
              <w:t>5.12.11下午1：30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5A46A710">
            <w:pPr>
              <w:pStyle w:val="9"/>
              <w:rPr>
                <w:rFonts w:ascii="Times New Roman"/>
                <w:sz w:val="22"/>
                <w:szCs w:val="20"/>
              </w:rPr>
            </w:pPr>
            <w:r>
              <w:rPr>
                <w:rFonts w:hint="eastAsia" w:ascii="Times New Roman"/>
                <w:sz w:val="22"/>
                <w:szCs w:val="20"/>
              </w:rPr>
              <w:t>何婷茹      财务总监</w:t>
            </w:r>
          </w:p>
          <w:p w14:paraId="061D9705">
            <w:pPr>
              <w:pStyle w:val="9"/>
              <w:rPr>
                <w:rFonts w:ascii="Times New Roman"/>
                <w:sz w:val="22"/>
                <w:szCs w:val="20"/>
              </w:rPr>
            </w:pPr>
            <w:r>
              <w:rPr>
                <w:rFonts w:hint="eastAsia" w:ascii="Times New Roman"/>
                <w:sz w:val="22"/>
                <w:szCs w:val="20"/>
              </w:rPr>
              <w:t>章琪</w:t>
            </w:r>
            <w:r>
              <w:rPr>
                <w:rFonts w:ascii="Times New Roman"/>
                <w:sz w:val="22"/>
                <w:szCs w:val="20"/>
              </w:rPr>
              <w:t xml:space="preserve"> </w:t>
            </w:r>
            <w:r>
              <w:rPr>
                <w:rFonts w:hint="eastAsia" w:ascii="Times New Roman"/>
                <w:sz w:val="22"/>
                <w:szCs w:val="20"/>
              </w:rPr>
              <w:t xml:space="preserve">         董事会秘书</w:t>
            </w:r>
          </w:p>
          <w:p w14:paraId="3821837E">
            <w:pPr>
              <w:pStyle w:val="9"/>
              <w:rPr>
                <w:rFonts w:ascii="Times New Roman"/>
                <w:sz w:val="26"/>
              </w:rPr>
            </w:pPr>
            <w:r>
              <w:rPr>
                <w:rFonts w:hint="eastAsia" w:ascii="Times New Roman"/>
                <w:sz w:val="22"/>
                <w:szCs w:val="20"/>
              </w:rPr>
              <w:t>王责宇</w:t>
            </w:r>
            <w:r>
              <w:rPr>
                <w:rFonts w:ascii="Times New Roman"/>
                <w:sz w:val="22"/>
                <w:szCs w:val="20"/>
              </w:rPr>
              <w:t xml:space="preserve"> </w:t>
            </w:r>
            <w:r>
              <w:rPr>
                <w:rFonts w:hint="eastAsia" w:ascii="Times New Roman"/>
                <w:sz w:val="22"/>
                <w:szCs w:val="20"/>
              </w:rPr>
              <w:t xml:space="preserve">     证券事务专员</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4D58B68D">
            <w:pPr>
              <w:numPr>
                <w:ilvl w:val="0"/>
                <w:numId w:val="1"/>
              </w:numPr>
              <w:spacing w:line="360" w:lineRule="auto"/>
              <w:rPr>
                <w:rFonts w:hint="eastAsia"/>
              </w:rPr>
            </w:pPr>
            <w:r>
              <w:rPr>
                <w:rFonts w:hint="eastAsia"/>
              </w:rPr>
              <w:t>请介绍下公司基本情况。</w:t>
            </w:r>
          </w:p>
          <w:p w14:paraId="7E7C1484">
            <w:pPr>
              <w:numPr>
                <w:numId w:val="0"/>
              </w:numPr>
              <w:spacing w:line="360" w:lineRule="auto"/>
              <w:rPr>
                <w:rFonts w:hint="eastAsia"/>
              </w:rPr>
            </w:pPr>
            <w:r>
              <w:rPr>
                <w:rFonts w:hint="eastAsia"/>
              </w:rPr>
              <w:t>A:公司成立于2001年，是一家专业从事超净高纯湿电子化学品的研发、生产和销售的企业。公司产品主要有显影液、</w:t>
            </w:r>
            <w:r>
              <w:rPr>
                <w:rFonts w:hint="eastAsia"/>
                <w:lang w:val="en-US" w:eastAsia="zh-CN"/>
              </w:rPr>
              <w:t>剥离液、</w:t>
            </w:r>
            <w:r>
              <w:rPr>
                <w:rFonts w:hint="eastAsia"/>
              </w:rPr>
              <w:t>蚀刻液、稀释液、清洗液等，下游应用领域主要为显示面板、半导体、太阳能电池等，主要用于显影、蚀刻、清洗等电子产品制造工艺中。其中，公司自主创新研发的核心产品电子级四甲基氢氧化铵（TMAH显影液）成功打破国外技术垄断，填补国内空白。该产品不仅实现了替代进口，还外销韩国、日本和台湾地区。在显示面板应用领域中，该产品得到众多知名客户的认可，成功导入京东方集团、韩国 LG 集团、华星光电、天马微电子、维信诺等国内外大型面板企业。目前公司核心产品TMAH显影液相关技术指标已达到SEMI G5标准要求。</w:t>
            </w:r>
          </w:p>
          <w:p w14:paraId="1378D03B">
            <w:pPr>
              <w:spacing w:line="360" w:lineRule="auto"/>
              <w:ind w:firstLine="440" w:firstLineChars="200"/>
              <w:rPr>
                <w:rFonts w:hint="eastAsia"/>
              </w:rPr>
            </w:pPr>
            <w:r>
              <w:rPr>
                <w:rFonts w:hint="eastAsia"/>
              </w:rPr>
              <w:t>在 TMAH 显影液的基础上，公司积极开发其他配套产品，并已取得良好的成绩。其中：剥离液目前已在维信诺（固安）工厂、华星光电T3和T5工厂以及天马微（厦门）形成整厂量供</w:t>
            </w:r>
            <w:r>
              <w:rPr>
                <w:rFonts w:hint="eastAsia"/>
                <w:lang w:eastAsia="zh-CN"/>
              </w:rPr>
              <w:t>，</w:t>
            </w:r>
            <w:r>
              <w:rPr>
                <w:rFonts w:hint="eastAsia"/>
                <w:lang w:val="en-US" w:eastAsia="zh-CN"/>
              </w:rPr>
              <w:t>同时</w:t>
            </w:r>
            <w:r>
              <w:rPr>
                <w:rFonts w:hint="eastAsia"/>
              </w:rPr>
              <w:t>在维信诺完成回收液测试，进入规模化生产阶段；此外，该系列产品也已通过惠科集团深圳工厂的测试，并成功实现正式量供导入；含氟类缓冲氧化蚀刻液（BOE蚀刻液）已在京东方、维信诺和天马微电子等龙头客户实现量供</w:t>
            </w:r>
            <w:r>
              <w:rPr>
                <w:rFonts w:hint="eastAsia"/>
                <w:lang w:eastAsia="zh-CN"/>
              </w:rPr>
              <w:t>；</w:t>
            </w:r>
            <w:r>
              <w:rPr>
                <w:rFonts w:hint="eastAsia"/>
              </w:rPr>
              <w:t>半导体用显影液和稀释液已在成都奕成形成稳定量供并在国内外下游半导体客户端进一步持续开拓。</w:t>
            </w:r>
          </w:p>
          <w:p w14:paraId="1BCD26D3">
            <w:pPr>
              <w:spacing w:line="360" w:lineRule="auto"/>
              <w:ind w:firstLine="440" w:firstLineChars="200"/>
            </w:pPr>
            <w:r>
              <w:rPr>
                <w:rFonts w:hint="eastAsia"/>
              </w:rPr>
              <w:t>随着下游领域快速发展和国家加大支持力度，公司所处的电子材料领域呈现较好的发展前景，公司作为国内湿电子化学品主要生产厂商之一，也将持续深耕于湿电子化学品领域，充分发挥公司研发团队的自主创新能力，配合下游应用领域发展，不断提高产品品质、配套开发能力和综合服务能力，为客户提供高科技含量、高附加值的专用化学品与服务，成为电子材料领域国际领先的系统服务提供者</w:t>
            </w:r>
            <w:r>
              <w:t>。</w:t>
            </w:r>
          </w:p>
          <w:p w14:paraId="28571F75">
            <w:pPr>
              <w:spacing w:line="360" w:lineRule="auto"/>
            </w:pPr>
          </w:p>
          <w:p w14:paraId="315E9054">
            <w:pPr>
              <w:spacing w:line="360" w:lineRule="auto"/>
            </w:pPr>
            <w:r>
              <w:rPr>
                <w:rFonts w:hint="eastAsia"/>
              </w:rPr>
              <w:t>2、请问公司目前在</w:t>
            </w:r>
            <w:r>
              <w:rPr>
                <w:rFonts w:hint="eastAsia"/>
                <w:lang w:val="en-US" w:eastAsia="zh-CN"/>
              </w:rPr>
              <w:t>半导体</w:t>
            </w:r>
            <w:r>
              <w:rPr>
                <w:rFonts w:hint="eastAsia"/>
              </w:rPr>
              <w:t>领域的项目</w:t>
            </w:r>
            <w:r>
              <w:rPr>
                <w:rFonts w:hint="eastAsia"/>
                <w:lang w:val="en-US" w:eastAsia="zh-CN"/>
              </w:rPr>
              <w:t>进展</w:t>
            </w:r>
            <w:r>
              <w:rPr>
                <w:rFonts w:hint="eastAsia"/>
              </w:rPr>
              <w:t>如何？</w:t>
            </w:r>
          </w:p>
          <w:p w14:paraId="39B750A3">
            <w:pPr>
              <w:spacing w:line="360" w:lineRule="auto"/>
              <w:rPr>
                <w:rFonts w:hint="eastAsia"/>
              </w:rPr>
            </w:pPr>
            <w:r>
              <w:t>A:</w:t>
            </w:r>
            <w:r>
              <w:rPr>
                <w:rFonts w:hint="eastAsia"/>
              </w:rPr>
              <w:t>公司承接的工信部"集成电路制造产线零部件、材料和关键设备关键材料研发及产业化验证项目"，正与国内芯片龙头企业联合开展大规模集成电路用图形化显影液产品的研发及产业化应用验证，目前该项目已处于整体验收阶段</w:t>
            </w:r>
            <w:r>
              <w:rPr>
                <w:rFonts w:hint="eastAsia"/>
                <w:lang w:eastAsia="zh-CN"/>
              </w:rPr>
              <w:t>，公司正稳步推进项目验收收尾工作，进展顺利</w:t>
            </w:r>
            <w:r>
              <w:rPr>
                <w:rFonts w:hint="eastAsia"/>
              </w:rPr>
              <w:t>。公司承接的浙江省“领雁”研发攻关计划项目——“先进半导体材料中光刻胶配套高纯显影液的技术研发”已完成技术开发验证和产业化应用测试，相关产品已量供导入半导体功率器件领域的头部企业，并进一步拓宽应用场景。此外，公司将把握市场机遇，积极推动产品在半导体集成电路企业及其他领域的产线验证工作，未来也将持续深化与产业链上下游的协同合作，致力于实现中高端集成电路产线的产业化规模应用，增强产业链自主可控性。</w:t>
            </w:r>
          </w:p>
          <w:p w14:paraId="0F1543A7">
            <w:pPr>
              <w:spacing w:line="360" w:lineRule="auto"/>
              <w:rPr>
                <w:rFonts w:hint="eastAsia"/>
              </w:rPr>
            </w:pPr>
          </w:p>
          <w:p w14:paraId="489D5571">
            <w:pPr>
              <w:spacing w:line="360" w:lineRule="auto"/>
              <w:rPr>
                <w:rFonts w:hint="default"/>
                <w:lang w:val="en-US"/>
              </w:rPr>
            </w:pPr>
            <w:r>
              <w:rPr>
                <w:rFonts w:hint="eastAsia"/>
              </w:rPr>
              <w:t>3、公司产品</w:t>
            </w:r>
            <w:r>
              <w:rPr>
                <w:rFonts w:hint="eastAsia"/>
                <w:lang w:eastAsia="zh-CN"/>
              </w:rPr>
              <w:t>的</w:t>
            </w:r>
            <w:r>
              <w:rPr>
                <w:rFonts w:hint="eastAsia"/>
                <w:lang w:val="en-US" w:eastAsia="zh-CN"/>
              </w:rPr>
              <w:t>竞争力如何？</w:t>
            </w:r>
          </w:p>
          <w:p w14:paraId="56E3B880">
            <w:pPr>
              <w:spacing w:line="360" w:lineRule="auto"/>
            </w:pPr>
            <w:r>
              <w:t>A:</w:t>
            </w:r>
            <w:r>
              <w:rPr>
                <w:rFonts w:hint="eastAsia"/>
              </w:rPr>
              <w:t>公司系工信部认定的第六批制造业单项冠军示范企业，</w:t>
            </w:r>
            <w:r>
              <w:rPr>
                <w:rFonts w:hint="eastAsia"/>
                <w:lang w:val="en-US" w:eastAsia="zh-CN"/>
              </w:rPr>
              <w:t>在湿电子化学品领域具备显著的竞争优势。公司在研发创新能力、产品品控管理、配套服务能力、生产工艺和客户资源等多个方面处于国内领先地位。</w:t>
            </w:r>
          </w:p>
          <w:p w14:paraId="7929E847">
            <w:pPr>
              <w:spacing w:line="360" w:lineRule="auto"/>
            </w:pPr>
          </w:p>
          <w:p w14:paraId="57C0ED91">
            <w:pPr>
              <w:spacing w:line="360" w:lineRule="auto"/>
              <w:rPr>
                <w:rFonts w:hint="default" w:eastAsia="仿宋"/>
                <w:lang w:val="en-US" w:eastAsia="zh-CN"/>
              </w:rPr>
            </w:pPr>
            <w:r>
              <w:rPr>
                <w:rFonts w:hint="eastAsia"/>
              </w:rPr>
              <w:t>4、</w:t>
            </w:r>
            <w:r>
              <w:rPr>
                <w:rFonts w:hint="eastAsia"/>
                <w:lang w:val="en-US" w:eastAsia="zh-CN"/>
              </w:rPr>
              <w:t>公司产品价格目前如何</w:t>
            </w:r>
            <w:r>
              <w:rPr>
                <w:rFonts w:hint="eastAsia"/>
                <w:lang w:eastAsia="zh-CN"/>
              </w:rPr>
              <w:t>？</w:t>
            </w:r>
            <w:r>
              <w:rPr>
                <w:rFonts w:hint="eastAsia"/>
                <w:lang w:val="en-US" w:eastAsia="zh-CN"/>
              </w:rPr>
              <w:t>半导体用显影液和显示面板用显影液价格差距如何？</w:t>
            </w:r>
          </w:p>
          <w:p w14:paraId="1F66C498">
            <w:pPr>
              <w:spacing w:line="360" w:lineRule="auto"/>
            </w:pPr>
            <w:r>
              <w:t>A:</w:t>
            </w:r>
            <w:r>
              <w:rPr>
                <w:rFonts w:hint="eastAsia"/>
                <w:lang w:val="en-US" w:eastAsia="zh-CN"/>
              </w:rPr>
              <w:t>公司以销定产，确保生产经营与市场需求相匹配，在确保销售价格体现公司产品质量和技术优势的前提下，根据公司战略规划、经营目标、产品市场需求、竞争格局、运输方式和距离等情况，在保证一定毛利率的基础上，参考客户额外要求及回款期限等因素确定销售价格</w:t>
            </w:r>
            <w:r>
              <w:rPr>
                <w:rFonts w:hint="eastAsia"/>
              </w:rPr>
              <w:t>。</w:t>
            </w:r>
          </w:p>
          <w:p w14:paraId="4490CACB">
            <w:pPr>
              <w:spacing w:line="360" w:lineRule="auto"/>
            </w:pPr>
          </w:p>
          <w:p w14:paraId="01C0A3D8">
            <w:pPr>
              <w:spacing w:line="360" w:lineRule="auto"/>
              <w:rPr>
                <w:rFonts w:hint="default" w:eastAsia="仿宋"/>
                <w:lang w:val="en-US" w:eastAsia="zh-CN"/>
              </w:rPr>
            </w:pPr>
            <w:r>
              <w:rPr>
                <w:rFonts w:hint="eastAsia"/>
              </w:rPr>
              <w:t>5、</w:t>
            </w:r>
            <w:r>
              <w:rPr>
                <w:rFonts w:hint="eastAsia"/>
                <w:lang w:val="en-US" w:eastAsia="zh-CN"/>
              </w:rPr>
              <w:t>四川工厂的产能利用率如何？</w:t>
            </w:r>
          </w:p>
          <w:p w14:paraId="5EFB311D">
            <w:pPr>
              <w:spacing w:line="360" w:lineRule="auto"/>
              <w:rPr>
                <w:rFonts w:hint="eastAsia"/>
              </w:rPr>
            </w:pPr>
            <w:r>
              <w:t>A:</w:t>
            </w:r>
            <w:r>
              <w:rPr>
                <w:rFonts w:hint="eastAsia"/>
                <w:lang w:val="en-US" w:eastAsia="zh-CN"/>
              </w:rPr>
              <w:t>四川工厂在2024年第三季度获得安全生产许可证后，积极推进产线测试与转厂验证等多项工作，目前</w:t>
            </w:r>
            <w:r>
              <w:rPr>
                <w:rFonts w:hint="eastAsia"/>
              </w:rPr>
              <w:t>公司核心产品已在体系客户LCD 和OLED 的多条重要产线测试成功，由格林达四川工厂导入并实现量供，产能逐步释放。</w:t>
            </w:r>
            <w:bookmarkStart w:id="0" w:name="_GoBack"/>
            <w:bookmarkEnd w:id="0"/>
          </w:p>
          <w:p w14:paraId="1D82B3E2">
            <w:pPr>
              <w:spacing w:line="360" w:lineRule="auto"/>
              <w:rPr>
                <w:rFonts w:hint="eastAsia"/>
              </w:rPr>
            </w:pPr>
          </w:p>
          <w:p w14:paraId="46169812">
            <w:pPr>
              <w:numPr>
                <w:ilvl w:val="0"/>
                <w:numId w:val="2"/>
              </w:numPr>
              <w:spacing w:line="360" w:lineRule="auto"/>
              <w:rPr>
                <w:rFonts w:hint="eastAsia"/>
                <w:lang w:val="en-US" w:eastAsia="zh-CN"/>
              </w:rPr>
            </w:pPr>
            <w:r>
              <w:rPr>
                <w:rFonts w:hint="eastAsia"/>
                <w:lang w:val="en-US" w:eastAsia="zh-CN"/>
              </w:rPr>
              <w:t>国内湿电子化学品行业和国外相比，差距在哪里？</w:t>
            </w:r>
          </w:p>
          <w:p w14:paraId="17D2E202">
            <w:pPr>
              <w:numPr>
                <w:numId w:val="0"/>
              </w:numPr>
              <w:spacing w:line="360" w:lineRule="auto"/>
            </w:pPr>
            <w:r>
              <w:t>A:</w:t>
            </w:r>
            <w:r>
              <w:rPr>
                <w:rFonts w:hint="eastAsia"/>
              </w:rPr>
              <w:t>湿化学品行业投资大，产品获认证过程繁琐，周期长，生产商需具有雄厚的资金实力和研发能力，还需配备高素质从业人员。国产湿化学品在性能、规模等方面，与国外相比尚有差距</w:t>
            </w:r>
            <w:r>
              <w:t>。</w:t>
            </w:r>
            <w:r>
              <w:rPr>
                <w:rFonts w:hint="eastAsia"/>
              </w:rPr>
              <w:t>近年来，为推动国内湿化学品行业发展，增强产业创新能力和国际竞争力，国家先后出台了多项专项政策和鼓励措施，为湿化学品大规模产业化提供了良好的研发基础和市场化条件</w:t>
            </w:r>
            <w:r>
              <w:rPr>
                <w:rFonts w:hint="eastAsia"/>
                <w:lang w:eastAsia="zh-CN"/>
              </w:rPr>
              <w:t>。</w:t>
            </w:r>
            <w:r>
              <w:rPr>
                <w:rFonts w:hint="eastAsia"/>
                <w:lang w:val="en-US" w:eastAsia="zh-CN"/>
              </w:rPr>
              <w:t>在</w:t>
            </w:r>
            <w:r>
              <w:rPr>
                <w:rFonts w:hint="eastAsia"/>
              </w:rPr>
              <w:t>政策支持与自身努力下，国内企业在部分领域细分产品上突破明显</w:t>
            </w:r>
            <w:r>
              <w:rPr>
                <w:rFonts w:hint="eastAsia"/>
                <w:lang w:eastAsia="zh-CN"/>
              </w:rPr>
              <w:t>，在生产、检测、包装、技术服务水平等方面都开始攀升到一个新台阶，</w:t>
            </w:r>
            <w:r>
              <w:rPr>
                <w:rFonts w:hint="eastAsia"/>
                <w:lang w:val="en-US" w:eastAsia="zh-CN"/>
              </w:rPr>
              <w:t>竞争优势也在不断提升，整个湿化学品行业市场呈现良性发展态势</w:t>
            </w:r>
            <w:r>
              <w:t>。</w:t>
            </w:r>
          </w:p>
          <w:p w14:paraId="10352DFD">
            <w:pPr>
              <w:spacing w:line="360" w:lineRule="auto"/>
            </w:pPr>
          </w:p>
          <w:p w14:paraId="6331EC6B">
            <w:pPr>
              <w:spacing w:line="360" w:lineRule="auto"/>
              <w:rPr>
                <w:rFonts w:hint="eastAsia" w:eastAsia="仿宋"/>
                <w:lang w:eastAsia="zh-CN"/>
              </w:rPr>
            </w:pPr>
            <w:r>
              <w:rPr>
                <w:rFonts w:hint="eastAsia"/>
              </w:rPr>
              <w:t>7、公司在市值管理方面有什么规划</w:t>
            </w:r>
            <w:r>
              <w:rPr>
                <w:rFonts w:hint="eastAsia"/>
                <w:lang w:eastAsia="zh-CN"/>
              </w:rPr>
              <w:t>？</w:t>
            </w:r>
          </w:p>
          <w:p w14:paraId="0AFA5B2E">
            <w:pPr>
              <w:spacing w:line="360" w:lineRule="auto"/>
            </w:pPr>
            <w:r>
              <w:t>A:</w:t>
            </w:r>
            <w:r>
              <w:rPr>
                <w:rFonts w:hint="eastAsia"/>
              </w:rPr>
              <w:t>公司</w:t>
            </w:r>
            <w:r>
              <w:rPr>
                <w:rFonts w:hint="eastAsia"/>
                <w:lang w:val="en-US" w:eastAsia="zh-CN"/>
              </w:rPr>
              <w:t>在聚焦主业，提升经营效率和盈利能力同时，综合运用多种方式促进公司投资价值合理反映公司质量：1、根据公司实际需求，适时开展并购重组业务，强化主业核心竞争力，发挥产业协同效应，拓展业务覆盖范围，从而提升公司质量和价值；2、综合考虑公司的发展规划及投资者回报水平，通过现金分红回报股东，增强投资者获得感；3、加强与投资者沟通，增进投资者对上市公司的了解和认同，提升公司治理水平和企业整体价值，尊重投资者、回报投资者、保护投资者；4、严格遵守法律法规和监管机构规定，不断提高信息披露质量。</w:t>
            </w: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043EA"/>
    <w:multiLevelType w:val="singleLevel"/>
    <w:tmpl w:val="3EC043EA"/>
    <w:lvl w:ilvl="0" w:tentative="0">
      <w:start w:val="1"/>
      <w:numFmt w:val="decimal"/>
      <w:suff w:val="nothing"/>
      <w:lvlText w:val="%1、"/>
      <w:lvlJc w:val="left"/>
    </w:lvl>
  </w:abstractNum>
  <w:abstractNum w:abstractNumId="1">
    <w:nsid w:val="6D79AC8C"/>
    <w:multiLevelType w:val="singleLevel"/>
    <w:tmpl w:val="6D79AC8C"/>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D2AB6"/>
    <w:rsid w:val="001108FE"/>
    <w:rsid w:val="001305E4"/>
    <w:rsid w:val="00162871"/>
    <w:rsid w:val="00171360"/>
    <w:rsid w:val="0017157A"/>
    <w:rsid w:val="001E10B2"/>
    <w:rsid w:val="0020694B"/>
    <w:rsid w:val="00215255"/>
    <w:rsid w:val="00263F0C"/>
    <w:rsid w:val="002C7B42"/>
    <w:rsid w:val="00327BF0"/>
    <w:rsid w:val="003C207C"/>
    <w:rsid w:val="003C6CFD"/>
    <w:rsid w:val="004B3293"/>
    <w:rsid w:val="004D7AF6"/>
    <w:rsid w:val="004F68F0"/>
    <w:rsid w:val="005156BA"/>
    <w:rsid w:val="00520021"/>
    <w:rsid w:val="00551301"/>
    <w:rsid w:val="00552269"/>
    <w:rsid w:val="00552E3E"/>
    <w:rsid w:val="00577250"/>
    <w:rsid w:val="00580104"/>
    <w:rsid w:val="005D738A"/>
    <w:rsid w:val="00610110"/>
    <w:rsid w:val="00711F8E"/>
    <w:rsid w:val="0071356F"/>
    <w:rsid w:val="007A6320"/>
    <w:rsid w:val="007B6582"/>
    <w:rsid w:val="007E1942"/>
    <w:rsid w:val="007E3B0D"/>
    <w:rsid w:val="0081611E"/>
    <w:rsid w:val="008918A7"/>
    <w:rsid w:val="008A4F6A"/>
    <w:rsid w:val="008E614D"/>
    <w:rsid w:val="008E69FB"/>
    <w:rsid w:val="00946532"/>
    <w:rsid w:val="009A5806"/>
    <w:rsid w:val="009B56F7"/>
    <w:rsid w:val="009F0355"/>
    <w:rsid w:val="00A16B93"/>
    <w:rsid w:val="00A53C54"/>
    <w:rsid w:val="00A83E0B"/>
    <w:rsid w:val="00A83F33"/>
    <w:rsid w:val="00A92E65"/>
    <w:rsid w:val="00AB70D9"/>
    <w:rsid w:val="00AD52E4"/>
    <w:rsid w:val="00AD77D3"/>
    <w:rsid w:val="00B10134"/>
    <w:rsid w:val="00B41B05"/>
    <w:rsid w:val="00BC4BE7"/>
    <w:rsid w:val="00C5219B"/>
    <w:rsid w:val="00C6276F"/>
    <w:rsid w:val="00CC496A"/>
    <w:rsid w:val="00CE4412"/>
    <w:rsid w:val="00CF1336"/>
    <w:rsid w:val="00D66389"/>
    <w:rsid w:val="00DB46FA"/>
    <w:rsid w:val="00E21290"/>
    <w:rsid w:val="00E231E8"/>
    <w:rsid w:val="00E36611"/>
    <w:rsid w:val="00E50F80"/>
    <w:rsid w:val="00F077A1"/>
    <w:rsid w:val="00F36EB7"/>
    <w:rsid w:val="00F67894"/>
    <w:rsid w:val="00F971FE"/>
    <w:rsid w:val="00FD431E"/>
    <w:rsid w:val="1ED23A13"/>
    <w:rsid w:val="2E321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1267</Words>
  <Characters>1297</Characters>
  <Lines>9</Lines>
  <Paragraphs>2</Paragraphs>
  <TotalTime>23</TotalTime>
  <ScaleCrop>false</ScaleCrop>
  <LinksUpToDate>false</LinksUpToDate>
  <CharactersWithSpaces>1335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2025-12-11T08:17:16Z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2052-12.1.0.24034</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013122AAE16A408E967B8B1F14BAA76A_12</vt:lpwstr>
  </property>
</Properties>
</file>